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21958" w:rsidTr="000010D5">
        <w:tc>
          <w:tcPr>
            <w:tcW w:w="9571" w:type="dxa"/>
            <w:gridSpan w:val="3"/>
          </w:tcPr>
          <w:p w:rsidR="00E21958" w:rsidRDefault="00E21958" w:rsidP="00E10C32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Гер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958" w:rsidRPr="000010D5" w:rsidRDefault="00E21958" w:rsidP="00E10C32">
            <w:pPr>
              <w:pStyle w:val="a3"/>
              <w:rPr>
                <w:sz w:val="28"/>
              </w:rPr>
            </w:pPr>
          </w:p>
          <w:p w:rsidR="00E21958" w:rsidRPr="000929F8" w:rsidRDefault="00E21958" w:rsidP="00E10C32">
            <w:pPr>
              <w:pStyle w:val="a3"/>
              <w:rPr>
                <w:b w:val="0"/>
                <w:sz w:val="28"/>
                <w:szCs w:val="28"/>
              </w:rPr>
            </w:pPr>
            <w:r w:rsidRPr="000929F8">
              <w:rPr>
                <w:b w:val="0"/>
                <w:sz w:val="28"/>
                <w:szCs w:val="28"/>
              </w:rPr>
              <w:t>АДМИНИСТРАЦИЯ ТЕРБУНСКОГО МУНИЦИПАЛЬНОГО РАЙОНА</w:t>
            </w:r>
          </w:p>
          <w:p w:rsidR="00E21958" w:rsidRPr="00EF2329" w:rsidRDefault="00E21958" w:rsidP="00E10C32">
            <w:pPr>
              <w:pStyle w:val="a3"/>
              <w:rPr>
                <w:sz w:val="28"/>
                <w:szCs w:val="28"/>
              </w:rPr>
            </w:pPr>
            <w:r w:rsidRPr="000929F8">
              <w:rPr>
                <w:b w:val="0"/>
                <w:sz w:val="28"/>
                <w:szCs w:val="28"/>
              </w:rPr>
              <w:t>ЛИ</w:t>
            </w:r>
            <w:r w:rsidRPr="000929F8">
              <w:rPr>
                <w:b w:val="0"/>
                <w:sz w:val="28"/>
                <w:szCs w:val="28"/>
              </w:rPr>
              <w:softHyphen/>
              <w:t>ПЕЦКОЙ ОБЛАСТИ</w:t>
            </w:r>
          </w:p>
          <w:p w:rsidR="00E21958" w:rsidRPr="000010D5" w:rsidRDefault="00E21958" w:rsidP="00E10C32">
            <w:pPr>
              <w:pStyle w:val="a3"/>
              <w:rPr>
                <w:sz w:val="28"/>
                <w:szCs w:val="26"/>
              </w:rPr>
            </w:pPr>
          </w:p>
          <w:p w:rsidR="00E21958" w:rsidRPr="000929F8" w:rsidRDefault="00E21958" w:rsidP="00E10C32">
            <w:pPr>
              <w:pStyle w:val="a3"/>
              <w:rPr>
                <w:szCs w:val="32"/>
              </w:rPr>
            </w:pPr>
            <w:r w:rsidRPr="000929F8">
              <w:rPr>
                <w:sz w:val="32"/>
                <w:szCs w:val="32"/>
              </w:rPr>
              <w:t>П О С Т А Н О В Л Е Н И Е</w:t>
            </w:r>
          </w:p>
          <w:p w:rsidR="00E21958" w:rsidRPr="00EF2329" w:rsidRDefault="00E21958" w:rsidP="00E10C32">
            <w:pPr>
              <w:pStyle w:val="a3"/>
              <w:rPr>
                <w:sz w:val="28"/>
              </w:rPr>
            </w:pPr>
          </w:p>
        </w:tc>
      </w:tr>
      <w:tr w:rsidR="00E21958" w:rsidTr="000010D5">
        <w:tc>
          <w:tcPr>
            <w:tcW w:w="3190" w:type="dxa"/>
          </w:tcPr>
          <w:p w:rsidR="00E21958" w:rsidRPr="00EF2329" w:rsidRDefault="000010D5" w:rsidP="00E10C32">
            <w:pPr>
              <w:pStyle w:val="a3"/>
              <w:rPr>
                <w:b w:val="0"/>
              </w:rPr>
            </w:pPr>
            <w:r w:rsidRPr="000010D5">
              <w:rPr>
                <w:b w:val="0"/>
                <w:sz w:val="28"/>
              </w:rPr>
              <w:t>01.08.2022</w:t>
            </w:r>
          </w:p>
        </w:tc>
        <w:tc>
          <w:tcPr>
            <w:tcW w:w="3190" w:type="dxa"/>
          </w:tcPr>
          <w:p w:rsidR="00E21958" w:rsidRDefault="00E21958" w:rsidP="00E10C32">
            <w:pPr>
              <w:pStyle w:val="a3"/>
            </w:pPr>
            <w:r w:rsidRPr="00EF2329">
              <w:rPr>
                <w:b w:val="0"/>
                <w:sz w:val="28"/>
              </w:rPr>
              <w:t>с. Тербуны</w:t>
            </w:r>
          </w:p>
        </w:tc>
        <w:tc>
          <w:tcPr>
            <w:tcW w:w="3191" w:type="dxa"/>
          </w:tcPr>
          <w:p w:rsidR="00E21958" w:rsidRDefault="00E21958" w:rsidP="000010D5">
            <w:pPr>
              <w:pStyle w:val="a3"/>
            </w:pPr>
            <w:r w:rsidRPr="00B802A6">
              <w:rPr>
                <w:b w:val="0"/>
                <w:sz w:val="28"/>
              </w:rPr>
              <w:t>№</w:t>
            </w:r>
            <w:r w:rsidR="000010D5">
              <w:rPr>
                <w:b w:val="0"/>
                <w:sz w:val="28"/>
              </w:rPr>
              <w:t xml:space="preserve"> 131</w:t>
            </w:r>
          </w:p>
        </w:tc>
      </w:tr>
    </w:tbl>
    <w:p w:rsidR="000010D5" w:rsidRDefault="000010D5" w:rsidP="000010D5">
      <w:pPr>
        <w:shd w:val="clear" w:color="auto" w:fill="FFFFFF"/>
        <w:ind w:left="7" w:right="5527"/>
        <w:jc w:val="both"/>
        <w:rPr>
          <w:spacing w:val="-1"/>
          <w:sz w:val="28"/>
          <w:szCs w:val="28"/>
        </w:rPr>
      </w:pPr>
    </w:p>
    <w:p w:rsidR="000010D5" w:rsidRDefault="000010D5" w:rsidP="000010D5">
      <w:pPr>
        <w:shd w:val="clear" w:color="auto" w:fill="FFFFFF"/>
        <w:ind w:left="7" w:right="5527"/>
        <w:jc w:val="both"/>
        <w:rPr>
          <w:spacing w:val="-1"/>
          <w:sz w:val="28"/>
          <w:szCs w:val="28"/>
        </w:rPr>
      </w:pPr>
    </w:p>
    <w:p w:rsidR="00492F4A" w:rsidRPr="004168F9" w:rsidRDefault="00492F4A" w:rsidP="000010D5">
      <w:pPr>
        <w:shd w:val="clear" w:color="auto" w:fill="FFFFFF"/>
        <w:ind w:left="7" w:right="5527"/>
        <w:jc w:val="both"/>
        <w:rPr>
          <w:spacing w:val="-1"/>
          <w:sz w:val="28"/>
          <w:szCs w:val="28"/>
        </w:rPr>
      </w:pPr>
      <w:r w:rsidRPr="004168F9">
        <w:rPr>
          <w:spacing w:val="-1"/>
          <w:sz w:val="28"/>
          <w:szCs w:val="28"/>
        </w:rPr>
        <w:t xml:space="preserve">О внесении изменений в постановление администрации </w:t>
      </w:r>
      <w:r w:rsidR="000010D5">
        <w:rPr>
          <w:spacing w:val="-1"/>
          <w:sz w:val="28"/>
          <w:szCs w:val="28"/>
        </w:rPr>
        <w:t xml:space="preserve">Тербунского муниципального </w:t>
      </w:r>
      <w:r w:rsidRPr="004168F9">
        <w:rPr>
          <w:spacing w:val="-1"/>
          <w:sz w:val="28"/>
          <w:szCs w:val="28"/>
        </w:rPr>
        <w:t xml:space="preserve">района </w:t>
      </w:r>
      <w:r w:rsidR="000010D5">
        <w:rPr>
          <w:spacing w:val="-1"/>
          <w:sz w:val="28"/>
          <w:szCs w:val="28"/>
        </w:rPr>
        <w:t xml:space="preserve">    </w:t>
      </w:r>
      <w:r w:rsidRPr="004168F9">
        <w:rPr>
          <w:spacing w:val="-1"/>
          <w:sz w:val="28"/>
          <w:szCs w:val="28"/>
        </w:rPr>
        <w:t xml:space="preserve">от 01.10.2013 года №112 </w:t>
      </w:r>
    </w:p>
    <w:p w:rsidR="003B6047" w:rsidRPr="004168F9" w:rsidRDefault="003B6047" w:rsidP="003B6047">
      <w:pPr>
        <w:shd w:val="clear" w:color="auto" w:fill="FFFFFF"/>
        <w:tabs>
          <w:tab w:val="left" w:pos="0"/>
        </w:tabs>
        <w:ind w:right="14"/>
        <w:jc w:val="both"/>
        <w:rPr>
          <w:spacing w:val="-1"/>
          <w:sz w:val="26"/>
          <w:szCs w:val="26"/>
        </w:rPr>
      </w:pPr>
    </w:p>
    <w:p w:rsidR="008515DD" w:rsidRDefault="008515DD" w:rsidP="003B6047">
      <w:pPr>
        <w:shd w:val="clear" w:color="auto" w:fill="FFFFFF"/>
        <w:tabs>
          <w:tab w:val="left" w:pos="0"/>
        </w:tabs>
        <w:ind w:right="14"/>
        <w:jc w:val="both"/>
        <w:rPr>
          <w:spacing w:val="-1"/>
          <w:sz w:val="26"/>
          <w:szCs w:val="26"/>
        </w:rPr>
      </w:pPr>
    </w:p>
    <w:p w:rsidR="000010D5" w:rsidRPr="004168F9" w:rsidRDefault="000010D5" w:rsidP="003B6047">
      <w:pPr>
        <w:shd w:val="clear" w:color="auto" w:fill="FFFFFF"/>
        <w:tabs>
          <w:tab w:val="left" w:pos="0"/>
        </w:tabs>
        <w:ind w:right="14"/>
        <w:jc w:val="both"/>
        <w:rPr>
          <w:spacing w:val="-1"/>
          <w:sz w:val="26"/>
          <w:szCs w:val="26"/>
        </w:rPr>
      </w:pPr>
    </w:p>
    <w:p w:rsidR="00E21958" w:rsidRPr="004168F9" w:rsidRDefault="00492F4A" w:rsidP="009E201E">
      <w:pPr>
        <w:ind w:left="7"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В целях развития малого и среднего предпринимательства Тербунского муниципального района Липецкой области</w:t>
      </w:r>
      <w:r w:rsidR="00E21958" w:rsidRPr="004168F9">
        <w:rPr>
          <w:sz w:val="28"/>
          <w:szCs w:val="28"/>
        </w:rPr>
        <w:t xml:space="preserve">, руководствуясь ст.39 </w:t>
      </w:r>
      <w:r w:rsidR="00E21958" w:rsidRPr="004168F9">
        <w:rPr>
          <w:rStyle w:val="ae"/>
          <w:color w:val="auto"/>
          <w:sz w:val="28"/>
          <w:szCs w:val="28"/>
          <w:u w:val="none"/>
        </w:rPr>
        <w:t>Устава</w:t>
      </w:r>
      <w:r w:rsidR="00E21958" w:rsidRPr="004168F9">
        <w:rPr>
          <w:sz w:val="28"/>
          <w:szCs w:val="28"/>
        </w:rPr>
        <w:t xml:space="preserve"> Тербунского муниципального района Липецкой области, администрация Тербунского муниципального района</w:t>
      </w:r>
      <w:r w:rsidR="007D108D" w:rsidRPr="004168F9">
        <w:rPr>
          <w:sz w:val="28"/>
          <w:szCs w:val="28"/>
        </w:rPr>
        <w:t xml:space="preserve"> </w:t>
      </w:r>
    </w:p>
    <w:p w:rsidR="003B6047" w:rsidRDefault="007D108D" w:rsidP="000010D5">
      <w:pPr>
        <w:jc w:val="both"/>
        <w:rPr>
          <w:sz w:val="28"/>
          <w:szCs w:val="28"/>
        </w:rPr>
      </w:pPr>
      <w:r w:rsidRPr="004168F9">
        <w:rPr>
          <w:sz w:val="28"/>
          <w:szCs w:val="28"/>
        </w:rPr>
        <w:t>П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О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С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Т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А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Н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О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В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Л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Я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>Е</w:t>
      </w:r>
      <w:r w:rsidR="00E21958" w:rsidRPr="004168F9">
        <w:rPr>
          <w:sz w:val="28"/>
          <w:szCs w:val="28"/>
        </w:rPr>
        <w:t xml:space="preserve"> </w:t>
      </w:r>
      <w:r w:rsidRPr="004168F9">
        <w:rPr>
          <w:sz w:val="28"/>
          <w:szCs w:val="28"/>
        </w:rPr>
        <w:t xml:space="preserve">Т: </w:t>
      </w:r>
    </w:p>
    <w:p w:rsidR="000010D5" w:rsidRPr="004168F9" w:rsidRDefault="000010D5" w:rsidP="000010D5">
      <w:pPr>
        <w:jc w:val="both"/>
        <w:rPr>
          <w:sz w:val="28"/>
          <w:szCs w:val="28"/>
        </w:rPr>
      </w:pPr>
    </w:p>
    <w:p w:rsidR="00492F4A" w:rsidRPr="004168F9" w:rsidRDefault="001041F1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1.</w:t>
      </w:r>
      <w:r w:rsidR="000973B4" w:rsidRPr="004168F9">
        <w:rPr>
          <w:sz w:val="28"/>
          <w:szCs w:val="28"/>
        </w:rPr>
        <w:t xml:space="preserve"> </w:t>
      </w:r>
      <w:r w:rsidR="00492F4A" w:rsidRPr="004168F9">
        <w:rPr>
          <w:sz w:val="28"/>
          <w:szCs w:val="28"/>
        </w:rPr>
        <w:t xml:space="preserve">Внести в </w:t>
      </w:r>
      <w:r w:rsidR="00492F4A" w:rsidRPr="004168F9">
        <w:rPr>
          <w:spacing w:val="-1"/>
          <w:sz w:val="28"/>
          <w:szCs w:val="28"/>
        </w:rPr>
        <w:t>постановление администрации Тербунского муниципального района от 01.10.2013 года №112 «</w:t>
      </w:r>
      <w:r w:rsidR="00492F4A" w:rsidRPr="004168F9">
        <w:rPr>
          <w:sz w:val="28"/>
          <w:szCs w:val="28"/>
        </w:rPr>
        <w:t>Об утверждении муниципальной программы «</w:t>
      </w:r>
      <w:bookmarkStart w:id="0" w:name="_GoBack"/>
      <w:r w:rsidR="00492F4A" w:rsidRPr="004168F9">
        <w:rPr>
          <w:sz w:val="28"/>
          <w:szCs w:val="28"/>
        </w:rPr>
        <w:t>Развитие экономики Тербунского муниципального района Липецкой области</w:t>
      </w:r>
      <w:bookmarkEnd w:id="0"/>
      <w:r w:rsidR="00492F4A" w:rsidRPr="004168F9">
        <w:rPr>
          <w:sz w:val="28"/>
          <w:szCs w:val="28"/>
        </w:rPr>
        <w:t>» следующие изменения: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в приложении к постановлению: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1) позицию «Объемы финансирования за счет средств районного бюджета всего, в том числе по годам реализации муниципальной программы» паспорта муниципальной программы изложить в новой редакции: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«Объемы финансирования составляют расходы, связанные с реализацией мероприятий, финансируемых за счет средств районного бюджета </w:t>
      </w:r>
      <w:r w:rsidR="00A85B80">
        <w:rPr>
          <w:sz w:val="28"/>
          <w:szCs w:val="28"/>
        </w:rPr>
        <w:t>85</w:t>
      </w:r>
      <w:r w:rsidR="00631FC9">
        <w:rPr>
          <w:sz w:val="28"/>
          <w:szCs w:val="28"/>
        </w:rPr>
        <w:t>910,8</w:t>
      </w:r>
      <w:r w:rsidRPr="004168F9">
        <w:rPr>
          <w:sz w:val="28"/>
          <w:szCs w:val="28"/>
        </w:rPr>
        <w:t xml:space="preserve"> тыс. руб., из них: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2014 год – 5944,8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2015 год – 6015,8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2016 год – 6432,1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2017 год – 7936,8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2018 год – 7152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2019 год – 8341,1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2020 год – 8130,9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2021 год – </w:t>
      </w:r>
      <w:r w:rsidR="004168F9" w:rsidRPr="004168F9">
        <w:rPr>
          <w:sz w:val="28"/>
          <w:szCs w:val="28"/>
        </w:rPr>
        <w:t>10109,6</w:t>
      </w:r>
      <w:r w:rsidRPr="004168F9">
        <w:rPr>
          <w:sz w:val="28"/>
          <w:szCs w:val="28"/>
        </w:rPr>
        <w:t xml:space="preserve">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2022 год – </w:t>
      </w:r>
      <w:r w:rsidR="00A85B80">
        <w:rPr>
          <w:sz w:val="28"/>
          <w:szCs w:val="28"/>
        </w:rPr>
        <w:t>14</w:t>
      </w:r>
      <w:r w:rsidR="000318B8">
        <w:rPr>
          <w:sz w:val="28"/>
          <w:szCs w:val="28"/>
        </w:rPr>
        <w:t>859,7</w:t>
      </w:r>
      <w:r w:rsidRPr="004168F9">
        <w:rPr>
          <w:sz w:val="28"/>
          <w:szCs w:val="28"/>
        </w:rPr>
        <w:t xml:space="preserve">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lastRenderedPageBreak/>
        <w:t>2023 год – 5608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2024 год – 5380 тыс. руб.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Объемы финансирования программы ежегодно уточняются при формировании районного бюджета на очередной финансовый год и плановый период»;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2) раздел 5 «Краткое описание ресурсного обеспечения за счёт бюджетных ассигнований по годам реализации муниципальной программы» муниципальной программы изложить в новой редакции: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«5. Краткое описание ресурсного обеспечения за счёт бюджетных ассигнований по годам реализации муниципальной программы.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Финансовое обеспечение реализации Программы планируется осуществлять за счет бюджетных ассигнований районного бюджета в пределах предусмотренных лимитов финансирования, а также средств областного бюджета.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Общий объем финансирования Программы за весь период реализации </w:t>
      </w:r>
      <w:proofErr w:type="spellStart"/>
      <w:r w:rsidRPr="004168F9">
        <w:rPr>
          <w:sz w:val="28"/>
          <w:szCs w:val="28"/>
        </w:rPr>
        <w:t>прогнозно</w:t>
      </w:r>
      <w:proofErr w:type="spellEnd"/>
      <w:r w:rsidRPr="004168F9">
        <w:rPr>
          <w:sz w:val="28"/>
          <w:szCs w:val="28"/>
        </w:rPr>
        <w:t xml:space="preserve"> составит </w:t>
      </w:r>
      <w:r w:rsidR="00A85B80">
        <w:rPr>
          <w:sz w:val="28"/>
          <w:szCs w:val="28"/>
        </w:rPr>
        <w:t>119</w:t>
      </w:r>
      <w:r w:rsidR="000318B8">
        <w:rPr>
          <w:sz w:val="28"/>
          <w:szCs w:val="28"/>
        </w:rPr>
        <w:t>260,6</w:t>
      </w:r>
      <w:r w:rsidRPr="004168F9">
        <w:rPr>
          <w:sz w:val="28"/>
          <w:szCs w:val="28"/>
        </w:rPr>
        <w:t xml:space="preserve"> тыс. руб., в том числе: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- подпрограммы «Развитие малого и среднего предпринимательства и малых форм хозяйствования Тербунского муниципального района Липецкой области» -  предположительно </w:t>
      </w:r>
      <w:r w:rsidR="004168F9" w:rsidRPr="004168F9">
        <w:rPr>
          <w:sz w:val="28"/>
          <w:szCs w:val="28"/>
        </w:rPr>
        <w:t>26519,71</w:t>
      </w:r>
      <w:r w:rsidRPr="004168F9">
        <w:rPr>
          <w:sz w:val="28"/>
          <w:szCs w:val="28"/>
        </w:rPr>
        <w:t xml:space="preserve"> тыс. руб.;</w:t>
      </w:r>
    </w:p>
    <w:p w:rsidR="00492F4A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- подпрограммы «Развитие потребительского рынка и </w:t>
      </w:r>
      <w:proofErr w:type="spellStart"/>
      <w:r w:rsidRPr="004168F9">
        <w:rPr>
          <w:sz w:val="28"/>
          <w:szCs w:val="28"/>
        </w:rPr>
        <w:t>внутримуниципальных</w:t>
      </w:r>
      <w:proofErr w:type="spellEnd"/>
      <w:r w:rsidRPr="004168F9">
        <w:rPr>
          <w:sz w:val="28"/>
          <w:szCs w:val="28"/>
        </w:rPr>
        <w:t xml:space="preserve"> пассажирских перевозок </w:t>
      </w:r>
      <w:proofErr w:type="spellStart"/>
      <w:r w:rsidRPr="004168F9">
        <w:rPr>
          <w:sz w:val="28"/>
          <w:szCs w:val="28"/>
        </w:rPr>
        <w:t>Тербунского</w:t>
      </w:r>
      <w:proofErr w:type="spellEnd"/>
      <w:r w:rsidRPr="004168F9">
        <w:rPr>
          <w:sz w:val="28"/>
          <w:szCs w:val="28"/>
        </w:rPr>
        <w:t xml:space="preserve"> муниципального района Липецкой области» - предположительно </w:t>
      </w:r>
      <w:r w:rsidR="00A85B80">
        <w:rPr>
          <w:sz w:val="28"/>
          <w:szCs w:val="28"/>
        </w:rPr>
        <w:t>92</w:t>
      </w:r>
      <w:r w:rsidR="000318B8">
        <w:rPr>
          <w:sz w:val="28"/>
          <w:szCs w:val="28"/>
        </w:rPr>
        <w:t>740,9</w:t>
      </w:r>
      <w:r w:rsidRPr="004168F9">
        <w:rPr>
          <w:sz w:val="28"/>
          <w:szCs w:val="28"/>
        </w:rPr>
        <w:t xml:space="preserve"> тыс. руб.»;</w:t>
      </w:r>
    </w:p>
    <w:p w:rsidR="00547F6C" w:rsidRPr="004168F9" w:rsidRDefault="00492F4A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3) </w:t>
      </w:r>
      <w:r w:rsidR="00547F6C" w:rsidRPr="004168F9">
        <w:rPr>
          <w:sz w:val="28"/>
          <w:szCs w:val="28"/>
        </w:rPr>
        <w:t xml:space="preserve">позицию «Объемы финансирования за счет средств районного бюджета всего, в том числе по годам реализации муниципальной программы» паспорта подпрограммы «Развитие потребительского рынка и </w:t>
      </w:r>
      <w:proofErr w:type="spellStart"/>
      <w:r w:rsidR="00547F6C" w:rsidRPr="004168F9">
        <w:rPr>
          <w:sz w:val="28"/>
          <w:szCs w:val="28"/>
        </w:rPr>
        <w:t>внутримуниципальных</w:t>
      </w:r>
      <w:proofErr w:type="spellEnd"/>
      <w:r w:rsidR="00547F6C" w:rsidRPr="004168F9">
        <w:rPr>
          <w:sz w:val="28"/>
          <w:szCs w:val="28"/>
        </w:rPr>
        <w:t xml:space="preserve"> пассажирских перевозок в </w:t>
      </w:r>
      <w:proofErr w:type="spellStart"/>
      <w:r w:rsidR="00547F6C" w:rsidRPr="004168F9">
        <w:rPr>
          <w:sz w:val="28"/>
          <w:szCs w:val="28"/>
        </w:rPr>
        <w:t>Тербунском</w:t>
      </w:r>
      <w:proofErr w:type="spellEnd"/>
      <w:r w:rsidR="00547F6C" w:rsidRPr="004168F9">
        <w:rPr>
          <w:sz w:val="28"/>
          <w:szCs w:val="28"/>
        </w:rPr>
        <w:t xml:space="preserve"> муниципальном районе» муниципальной программы изложить в новой редакции: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«Объемы финансирования, связанные с реализацией Подпрограммы, финансируемые за счет средств районного бюджета, предположительно составят всего </w:t>
      </w:r>
      <w:r w:rsidR="00A85B80">
        <w:rPr>
          <w:sz w:val="28"/>
          <w:szCs w:val="28"/>
        </w:rPr>
        <w:t>80</w:t>
      </w:r>
      <w:r w:rsidR="000318B8">
        <w:rPr>
          <w:sz w:val="28"/>
          <w:szCs w:val="28"/>
        </w:rPr>
        <w:t xml:space="preserve">345,6 </w:t>
      </w:r>
      <w:r w:rsidRPr="004168F9">
        <w:rPr>
          <w:sz w:val="28"/>
          <w:szCs w:val="28"/>
        </w:rPr>
        <w:t>тыс. руб., из них: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2014 год – 5106,8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2015 год – 5592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2016 год – 5677,6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2017 год – 6984,7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2018 год – 6549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2019 год – 8007,5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2020 год – 8045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2021 год – </w:t>
      </w:r>
      <w:r w:rsidR="004168F9" w:rsidRPr="004168F9">
        <w:rPr>
          <w:sz w:val="28"/>
          <w:szCs w:val="28"/>
        </w:rPr>
        <w:t>9962,5</w:t>
      </w:r>
      <w:r w:rsidRPr="004168F9">
        <w:rPr>
          <w:sz w:val="28"/>
          <w:szCs w:val="28"/>
        </w:rPr>
        <w:t xml:space="preserve">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2022 год – </w:t>
      </w:r>
      <w:r w:rsidR="00A85B80">
        <w:rPr>
          <w:sz w:val="28"/>
          <w:szCs w:val="28"/>
        </w:rPr>
        <w:t>14</w:t>
      </w:r>
      <w:r w:rsidR="000318B8">
        <w:rPr>
          <w:sz w:val="28"/>
          <w:szCs w:val="28"/>
        </w:rPr>
        <w:t>426,1</w:t>
      </w:r>
      <w:r w:rsidRPr="004168F9">
        <w:rPr>
          <w:sz w:val="28"/>
          <w:szCs w:val="28"/>
        </w:rPr>
        <w:t xml:space="preserve">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2023 год – 5174,4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2024 год – 4820 тыс. руб.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Объемы финансирования программы ежегодно уточняются при формировании районного бюджета на очередной финансовый год и плановый период»;</w:t>
      </w:r>
    </w:p>
    <w:p w:rsidR="009E201E" w:rsidRPr="004168F9" w:rsidRDefault="008B0D91" w:rsidP="00001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раздел 1</w:t>
      </w:r>
      <w:r w:rsidR="009E201E" w:rsidRPr="004168F9">
        <w:rPr>
          <w:sz w:val="28"/>
          <w:szCs w:val="28"/>
        </w:rPr>
        <w:t xml:space="preserve"> «</w:t>
      </w:r>
      <w:r w:rsidRPr="008B0D91">
        <w:rPr>
          <w:sz w:val="28"/>
          <w:szCs w:val="28"/>
        </w:rPr>
        <w:t>Характеристика сферы реализации подпрограммы, описание основных проблем в указанной сфере, анализ социальных, финансово-экономических и прочих рисков её развития.</w:t>
      </w:r>
      <w:r w:rsidR="009E201E" w:rsidRPr="004168F9">
        <w:rPr>
          <w:sz w:val="28"/>
          <w:szCs w:val="28"/>
        </w:rPr>
        <w:t>» муниципальной программы изложить в новой редакции:</w:t>
      </w:r>
    </w:p>
    <w:p w:rsidR="009E201E" w:rsidRPr="004168F9" w:rsidRDefault="008B0D91" w:rsidP="000010D5">
      <w:pPr>
        <w:ind w:firstLine="709"/>
        <w:jc w:val="both"/>
        <w:rPr>
          <w:sz w:val="28"/>
          <w:szCs w:val="28"/>
        </w:rPr>
      </w:pPr>
      <w:r w:rsidRPr="006135E1">
        <w:rPr>
          <w:sz w:val="28"/>
          <w:szCs w:val="28"/>
        </w:rPr>
        <w:t>«1</w:t>
      </w:r>
      <w:r w:rsidR="009E201E" w:rsidRPr="006135E1">
        <w:rPr>
          <w:sz w:val="28"/>
          <w:szCs w:val="28"/>
        </w:rPr>
        <w:t xml:space="preserve">. </w:t>
      </w:r>
      <w:r w:rsidRPr="006135E1">
        <w:rPr>
          <w:sz w:val="28"/>
          <w:szCs w:val="28"/>
        </w:rPr>
        <w:t>Характеристика сферы реализации подпрограммы, описание основных проблем в указанной сфере, анализ социальных, финансово-экономических и прочих рисков её развития</w:t>
      </w:r>
      <w:r w:rsidR="009E201E" w:rsidRPr="006135E1">
        <w:rPr>
          <w:sz w:val="28"/>
          <w:szCs w:val="28"/>
        </w:rPr>
        <w:t>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Сфера потребительского рынка на сегодня - это один из стремительно растущих сегментов экономики, который характеризуется устойчивыми ежегодными темпами наращивания объемов продаж и предоставляемых услуг. Улучшается качество обслуживания населения, расширяется диапазон предлагаемых услуг, открываются предприятия новых форматов, создаются дополнительные рабочие места. Торговая с</w:t>
      </w:r>
      <w:r>
        <w:rPr>
          <w:sz w:val="28"/>
          <w:szCs w:val="28"/>
        </w:rPr>
        <w:t>еть района по состоянию на 01.01.2022 года представлена 158</w:t>
      </w:r>
      <w:r w:rsidRPr="00625107">
        <w:rPr>
          <w:sz w:val="28"/>
          <w:szCs w:val="28"/>
        </w:rPr>
        <w:t xml:space="preserve"> магазинами, </w:t>
      </w:r>
      <w:r>
        <w:rPr>
          <w:sz w:val="28"/>
          <w:szCs w:val="28"/>
        </w:rPr>
        <w:t>18</w:t>
      </w:r>
      <w:r w:rsidRPr="00625107">
        <w:rPr>
          <w:sz w:val="28"/>
          <w:szCs w:val="28"/>
        </w:rPr>
        <w:t xml:space="preserve"> павильонами и киосками, из них 3 точками общественного питания. Бытовое обслуживание оказывает </w:t>
      </w:r>
      <w:r>
        <w:rPr>
          <w:sz w:val="28"/>
          <w:szCs w:val="28"/>
        </w:rPr>
        <w:t>60</w:t>
      </w:r>
      <w:r w:rsidRPr="0062510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625107">
        <w:rPr>
          <w:sz w:val="28"/>
          <w:szCs w:val="28"/>
        </w:rPr>
        <w:t xml:space="preserve"> различных организационно-правовых форм.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В сложном положении находятся населенные пункты, расположенные вдали от крупных поселений, дорожных магистралей и с небольшим (до 200 человек) количеством проживающих.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На территории района находятся</w:t>
      </w:r>
      <w:r>
        <w:rPr>
          <w:sz w:val="28"/>
          <w:szCs w:val="28"/>
        </w:rPr>
        <w:t xml:space="preserve"> 52 населенных пункта</w:t>
      </w:r>
      <w:r w:rsidRPr="00625107">
        <w:rPr>
          <w:sz w:val="28"/>
          <w:szCs w:val="28"/>
        </w:rPr>
        <w:t>, не имеющих стационарных торговых объектов. Организация торгового и бытового обслуживания жителей осуществляется через развозную торговлю и выездное обслуживание.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01.01.2022</w:t>
      </w:r>
      <w:r w:rsidRPr="00625107">
        <w:rPr>
          <w:sz w:val="28"/>
          <w:szCs w:val="28"/>
        </w:rPr>
        <w:t xml:space="preserve"> года оборот розничной торговли составил </w:t>
      </w:r>
      <w:r>
        <w:rPr>
          <w:sz w:val="28"/>
          <w:szCs w:val="28"/>
        </w:rPr>
        <w:t>7012,3</w:t>
      </w:r>
      <w:r w:rsidRPr="00625107">
        <w:rPr>
          <w:sz w:val="28"/>
          <w:szCs w:val="28"/>
        </w:rPr>
        <w:t xml:space="preserve"> млн. руб., темп роста </w:t>
      </w:r>
      <w:r>
        <w:rPr>
          <w:sz w:val="28"/>
          <w:szCs w:val="28"/>
        </w:rPr>
        <w:t xml:space="preserve">115 </w:t>
      </w:r>
      <w:r w:rsidRPr="00625107">
        <w:rPr>
          <w:sz w:val="28"/>
          <w:szCs w:val="28"/>
        </w:rPr>
        <w:t xml:space="preserve">% к уровню прошлого года Среднедушевой оборот розничной торговли сложился на уровне </w:t>
      </w:r>
      <w:r>
        <w:rPr>
          <w:sz w:val="28"/>
          <w:szCs w:val="28"/>
        </w:rPr>
        <w:t>327</w:t>
      </w:r>
      <w:r w:rsidRPr="00625107">
        <w:rPr>
          <w:sz w:val="28"/>
          <w:szCs w:val="28"/>
        </w:rPr>
        <w:t xml:space="preserve"> тыс. руб.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 xml:space="preserve">Объем оказанных бытовых услуг составил </w:t>
      </w:r>
      <w:r>
        <w:rPr>
          <w:sz w:val="28"/>
          <w:szCs w:val="28"/>
        </w:rPr>
        <w:t>145,6</w:t>
      </w:r>
      <w:r w:rsidRPr="00625107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113</w:t>
      </w:r>
      <w:r w:rsidRPr="00625107">
        <w:rPr>
          <w:sz w:val="28"/>
          <w:szCs w:val="28"/>
        </w:rPr>
        <w:t>% к соответствующему периоду прошлого года.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 xml:space="preserve">Одной из проблем остается обеспеченность специализированным автотранспортом хозяйствующих субъектов. Специфика доставки товаров в отдаленные населенные пункты требует использования транспорта особого назначения: автолавок, </w:t>
      </w:r>
      <w:proofErr w:type="spellStart"/>
      <w:r w:rsidRPr="00625107">
        <w:rPr>
          <w:sz w:val="28"/>
          <w:szCs w:val="28"/>
        </w:rPr>
        <w:t>тонаров</w:t>
      </w:r>
      <w:proofErr w:type="spellEnd"/>
      <w:r w:rsidRPr="00625107">
        <w:rPr>
          <w:sz w:val="28"/>
          <w:szCs w:val="28"/>
        </w:rPr>
        <w:t xml:space="preserve"> и т.д. Приобретение автотранспорта для частных инвесторов практически непосильна, так как они или находятся на стадии становления, либо долгие годы обслуживают территории с населением, имеющим низкий уровень доходов (пенсионеры).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м</w:t>
      </w:r>
      <w:r w:rsidRPr="00625107">
        <w:rPr>
          <w:sz w:val="28"/>
          <w:szCs w:val="28"/>
        </w:rPr>
        <w:t>ероприятия Подпрограммы позволят компенсировать выпадающие доходы, возникающие вследствие регулирования тарифов на перевозку пассажиров автомобильным транспортом общего пользования</w:t>
      </w:r>
      <w:r>
        <w:rPr>
          <w:sz w:val="28"/>
          <w:szCs w:val="28"/>
        </w:rPr>
        <w:t xml:space="preserve"> и выполнять </w:t>
      </w:r>
      <w:r w:rsidRPr="00625107">
        <w:rPr>
          <w:sz w:val="28"/>
          <w:szCs w:val="28"/>
        </w:rPr>
        <w:t>работ</w:t>
      </w:r>
      <w:r>
        <w:rPr>
          <w:sz w:val="28"/>
          <w:szCs w:val="28"/>
        </w:rPr>
        <w:t>ы, связанные</w:t>
      </w:r>
      <w:r w:rsidRPr="00625107">
        <w:rPr>
          <w:sz w:val="28"/>
          <w:szCs w:val="28"/>
        </w:rPr>
        <w:t xml:space="preserve"> с осуществлением регулярных перевозок пассажиров и багажа автомобильным транспортом по регулируемым тарифам по муниципальным маршрутам (Закупка товаров, работ и услуг для обеспечения государственных (муниципальных) нужд).</w:t>
      </w:r>
    </w:p>
    <w:p w:rsid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К основным рискам реализации Подпрограммы можно отнести: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-недофинансирование мероприятий Подпрограммы из районного бюджета;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lastRenderedPageBreak/>
        <w:t>-неполное использование субъектами потребительского рынка муниципальной поддержки на осуществление торговой деятельности, оказания услуг;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-невыполнение (не полное выполнение) обязательств по реализации мероприятий получателями поддержки.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К мерам минимизации влияния рисков относятся: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1. Своевременное внесение изменений в состав основных мероприятий Подпрограммы, сроки их реализации, а также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625107" w:rsidRPr="00625107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2. Предварительная оценка заявок на получение поддержки, анализ хозяйственной деятельности заявителей, осуществление постоянного мониторинга за ходом реализации основных мероприятий Подпрограммы и целевым использованием средств поддержки.</w:t>
      </w:r>
    </w:p>
    <w:p w:rsidR="009E201E" w:rsidRDefault="00625107" w:rsidP="000010D5">
      <w:pPr>
        <w:ind w:firstLine="709"/>
        <w:jc w:val="both"/>
        <w:rPr>
          <w:sz w:val="28"/>
          <w:szCs w:val="28"/>
        </w:rPr>
      </w:pPr>
      <w:r w:rsidRPr="00625107">
        <w:rPr>
          <w:sz w:val="28"/>
          <w:szCs w:val="28"/>
        </w:rPr>
        <w:t>3. Контроль выполнения индикаторов (показателей) на всех стадиях реализации Подпрограммы.</w:t>
      </w:r>
      <w:r w:rsidR="009E201E" w:rsidRPr="004168F9">
        <w:rPr>
          <w:sz w:val="28"/>
          <w:szCs w:val="28"/>
        </w:rPr>
        <w:t>»</w:t>
      </w:r>
      <w:r w:rsidR="0044247F">
        <w:rPr>
          <w:sz w:val="28"/>
          <w:szCs w:val="28"/>
        </w:rPr>
        <w:t>;</w:t>
      </w:r>
    </w:p>
    <w:p w:rsidR="008E4997" w:rsidRPr="004168F9" w:rsidRDefault="006135E1" w:rsidP="00001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7F6C" w:rsidRPr="004168F9">
        <w:rPr>
          <w:sz w:val="28"/>
          <w:szCs w:val="28"/>
        </w:rPr>
        <w:t xml:space="preserve">) </w:t>
      </w:r>
      <w:r w:rsidR="008E4997" w:rsidRPr="004168F9">
        <w:rPr>
          <w:sz w:val="28"/>
          <w:szCs w:val="28"/>
        </w:rPr>
        <w:t>раздел 4 «Характеристика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мероприятий» муниципальной программы изложить в новой редакции: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«</w:t>
      </w:r>
      <w:r w:rsidRPr="004168F9">
        <w:rPr>
          <w:bCs/>
          <w:sz w:val="28"/>
          <w:szCs w:val="28"/>
        </w:rPr>
        <w:t>4. Характеристика основных мероприятий Подпрограммы с описанием всех механизмов и инструментов, реализация которых запланирована в составе основных мероприятий.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Предусмотрено три основных мероприятия Подпрограммы.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Основное мероприятие 1. </w:t>
      </w:r>
      <w:r w:rsidR="0044247F">
        <w:rPr>
          <w:sz w:val="28"/>
          <w:szCs w:val="28"/>
        </w:rPr>
        <w:t>«</w:t>
      </w:r>
      <w:r w:rsidRPr="004168F9">
        <w:rPr>
          <w:sz w:val="28"/>
          <w:szCs w:val="28"/>
        </w:rPr>
        <w:t xml:space="preserve">Предоставление субсидий на создание условий для обеспечения услугами торговли и </w:t>
      </w:r>
      <w:r w:rsidR="0044247F">
        <w:rPr>
          <w:sz w:val="28"/>
          <w:szCs w:val="28"/>
        </w:rPr>
        <w:t>бытового обслуживания поселений»</w:t>
      </w:r>
      <w:r w:rsidRPr="004168F9">
        <w:rPr>
          <w:sz w:val="28"/>
          <w:szCs w:val="28"/>
        </w:rPr>
        <w:t xml:space="preserve"> включает в себя: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1) приобретение автомобильного топлива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 для: 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а) организации развозной торговли в сельских населенных пунктах, не имеющих стационарных торговых объектов, и (или) имеющих стационарные торговые объекты, в которых радиус пешеходной доступности до стационарного торгового объекта превышает </w:t>
      </w:r>
      <w:smartTag w:uri="urn:schemas-microsoft-com:office:smarttags" w:element="metricconverter">
        <w:smartTagPr>
          <w:attr w:name="ProductID" w:val="2 километра"/>
        </w:smartTagPr>
        <w:r w:rsidRPr="004168F9">
          <w:rPr>
            <w:sz w:val="28"/>
            <w:szCs w:val="28"/>
          </w:rPr>
          <w:t>2 километра</w:t>
        </w:r>
      </w:smartTag>
      <w:r w:rsidRPr="004168F9">
        <w:rPr>
          <w:sz w:val="28"/>
          <w:szCs w:val="28"/>
        </w:rPr>
        <w:t>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б) сбора и доставки заказов сельского населения при оказании бытовых услуг;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в) доставки хлеба и хлебобулочных изделий собственного производства в стационарные торговые объекты, расположенные в сельских поселениях, не являющихся административным центром муниципального района;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2) приобретение в текущем году грузового специализированного автотранспорта, не находившегося в эксплуатации, - автолавок (автомобилей, оборудованных для организации развозной торговли с них), автофургонов (автомобилей, предназначенных для перевозки принятых от населения заказов на бытовые услуги и доставки выездных бригад);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lastRenderedPageBreak/>
        <w:t>3) приобретение в текущем году торгового и холодильного оборудования, оборудования для учета объема оборота алкогольной продукции, оснащенного техническими средствами фиксации и передачи информации об объеме оборота алкогольной продукции в единую государственную автоматизированную информационную систему,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4) приобретение в текущем году торгового и холодильного оборудования, не находившегося в эксплуатации, для специализированных торговых предприятий по продаже сельскохозяйственной продукции;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5) приобретение и установка в текущем году нестационарных объектов для оказания торговых и бытовых услуг (мобильных (сборно-разборных, модульных) торговых киосков, павильонов, бытовок), расположенных в населенных пунктах,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6) приобретение в текущем году торгового оборудования, контрольно-кассовой техники, не находившихся в эксплуатации, для комплексных приемных пунктов предприятий бытового обслуживания, осуществляющих сбор и доставку заказов сельского населения, расположенных в сельских поселениях, не являющихся административным центром муниципального района;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7) оплата холодной воды, горячей воды, электрической энергии, тепловой энергии, газа и отведения сточных вод помещений стационарных торговых объектов, расположенных в сельских населенных пунктах с численностью проживающего населения не более 300 человек.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Субсидии предоставляются на компенсацию части затрат предприятий и организаций, индивидуальных предпринимателей осуществляющих торговую деятельность на территории Тербунского муниципального района.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Основное мероприятие 2. </w:t>
      </w:r>
      <w:r w:rsidR="0044247F">
        <w:rPr>
          <w:sz w:val="28"/>
          <w:szCs w:val="28"/>
        </w:rPr>
        <w:t>«</w:t>
      </w:r>
      <w:r w:rsidRPr="004168F9">
        <w:rPr>
          <w:sz w:val="28"/>
          <w:szCs w:val="28"/>
        </w:rPr>
        <w:t>Предоставление субсидий на компенсацию выпадающих доходов, возникающих вследствие регулирования тарифов на перевозку пассажиров автомобильным</w:t>
      </w:r>
      <w:r w:rsidR="0044247F">
        <w:rPr>
          <w:sz w:val="28"/>
          <w:szCs w:val="28"/>
        </w:rPr>
        <w:t xml:space="preserve"> транспортом общего пользования»</w:t>
      </w:r>
      <w:r w:rsidRPr="004168F9">
        <w:rPr>
          <w:sz w:val="28"/>
          <w:szCs w:val="28"/>
        </w:rPr>
        <w:t>.</w:t>
      </w:r>
    </w:p>
    <w:p w:rsidR="008E4997" w:rsidRPr="004168F9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Субсидии предоставляются предприятиям и организациям независимо от организационно-правовой формы и формы собственности, субъектам малого предпринимательства, участвовавшим в конкурсе и победившем в нем, на право заключения контракта, на оказание услуг по выполнению регулярных </w:t>
      </w:r>
      <w:proofErr w:type="spellStart"/>
      <w:r w:rsidRPr="004168F9">
        <w:rPr>
          <w:sz w:val="28"/>
          <w:szCs w:val="28"/>
        </w:rPr>
        <w:t>внутримуниципальных</w:t>
      </w:r>
      <w:proofErr w:type="spellEnd"/>
      <w:r w:rsidRPr="004168F9">
        <w:rPr>
          <w:sz w:val="28"/>
          <w:szCs w:val="28"/>
        </w:rPr>
        <w:t xml:space="preserve"> пассажирских перевозок по маршрутам согласно расписания</w:t>
      </w:r>
    </w:p>
    <w:p w:rsidR="006135E1" w:rsidRDefault="008E4997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Основное мероприятие 3. </w:t>
      </w:r>
      <w:r w:rsidR="0044247F">
        <w:rPr>
          <w:sz w:val="28"/>
          <w:szCs w:val="28"/>
        </w:rPr>
        <w:t>«</w:t>
      </w:r>
      <w:r w:rsidRPr="004168F9">
        <w:rPr>
          <w:sz w:val="28"/>
          <w:szCs w:val="28"/>
        </w:rPr>
        <w:t>Приобретение автобусов в муниципальную собственность для осуществления перевозок по маршрутам регулярных перевозок по регулируемым тарифам</w:t>
      </w:r>
      <w:r w:rsidR="006135E1">
        <w:rPr>
          <w:sz w:val="28"/>
          <w:szCs w:val="28"/>
        </w:rPr>
        <w:t>»</w:t>
      </w:r>
      <w:r w:rsidRPr="004168F9">
        <w:rPr>
          <w:sz w:val="28"/>
          <w:szCs w:val="28"/>
        </w:rPr>
        <w:t>.</w:t>
      </w:r>
    </w:p>
    <w:p w:rsidR="006135E1" w:rsidRDefault="006135E1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Основное мероприят</w:t>
      </w:r>
      <w:r>
        <w:rPr>
          <w:sz w:val="28"/>
          <w:szCs w:val="28"/>
        </w:rPr>
        <w:t>ие 4</w:t>
      </w:r>
      <w:r w:rsidRPr="004168F9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Pr="006135E1">
        <w:rPr>
          <w:sz w:val="28"/>
          <w:szCs w:val="28"/>
        </w:rPr>
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</w:t>
      </w:r>
      <w:r w:rsidRPr="006135E1">
        <w:rPr>
          <w:sz w:val="28"/>
          <w:szCs w:val="28"/>
        </w:rPr>
        <w:lastRenderedPageBreak/>
        <w:t>(Закупка товаров, работ и услуг для обеспечения государственных (муниципальных) нужд)</w:t>
      </w:r>
      <w:r>
        <w:rPr>
          <w:sz w:val="28"/>
          <w:szCs w:val="28"/>
        </w:rPr>
        <w:t>».</w:t>
      </w:r>
    </w:p>
    <w:p w:rsidR="006135E1" w:rsidRDefault="006135E1" w:rsidP="000010D5">
      <w:pPr>
        <w:ind w:firstLine="709"/>
        <w:jc w:val="both"/>
        <w:rPr>
          <w:sz w:val="28"/>
          <w:szCs w:val="28"/>
        </w:rPr>
      </w:pPr>
      <w:r w:rsidRPr="009427CD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мероприятия</w:t>
      </w:r>
      <w:r w:rsidRPr="009427CD">
        <w:rPr>
          <w:sz w:val="28"/>
          <w:szCs w:val="28"/>
        </w:rPr>
        <w:t xml:space="preserve"> также планируется:</w:t>
      </w:r>
    </w:p>
    <w:p w:rsidR="006135E1" w:rsidRPr="009427CD" w:rsidRDefault="006135E1" w:rsidP="000010D5">
      <w:pPr>
        <w:ind w:firstLine="709"/>
        <w:jc w:val="both"/>
        <w:rPr>
          <w:sz w:val="28"/>
          <w:szCs w:val="28"/>
        </w:rPr>
      </w:pPr>
      <w:r w:rsidRPr="009427CD">
        <w:rPr>
          <w:sz w:val="28"/>
          <w:szCs w:val="28"/>
        </w:rPr>
        <w:t xml:space="preserve">- разработка правил организации перевозок пассажиров автомобильным транспортом по территории </w:t>
      </w:r>
      <w:r>
        <w:rPr>
          <w:sz w:val="28"/>
          <w:szCs w:val="28"/>
        </w:rPr>
        <w:t>Тербунского муниципального района</w:t>
      </w:r>
      <w:r w:rsidRPr="009427CD">
        <w:rPr>
          <w:sz w:val="28"/>
          <w:szCs w:val="28"/>
        </w:rPr>
        <w:t>;</w:t>
      </w:r>
    </w:p>
    <w:p w:rsidR="008E4997" w:rsidRDefault="006135E1" w:rsidP="000010D5">
      <w:pPr>
        <w:ind w:firstLine="709"/>
        <w:jc w:val="both"/>
        <w:rPr>
          <w:sz w:val="28"/>
          <w:szCs w:val="28"/>
        </w:rPr>
      </w:pPr>
      <w:r w:rsidRPr="00811D6E">
        <w:rPr>
          <w:sz w:val="28"/>
          <w:szCs w:val="28"/>
        </w:rPr>
        <w:t>- анализ маршрутной сети, выполняемых рейсов, с целью их оптимизации и 100% удовлетворения потребностей населения района в пассажирских перевозках.</w:t>
      </w:r>
      <w:r w:rsidR="009E201E" w:rsidRPr="004168F9">
        <w:rPr>
          <w:sz w:val="28"/>
          <w:szCs w:val="28"/>
        </w:rPr>
        <w:t>»</w:t>
      </w:r>
      <w:r w:rsidR="0044247F">
        <w:rPr>
          <w:sz w:val="28"/>
          <w:szCs w:val="28"/>
        </w:rPr>
        <w:t>;</w:t>
      </w:r>
    </w:p>
    <w:p w:rsidR="00547F6C" w:rsidRPr="004168F9" w:rsidRDefault="006135E1" w:rsidP="00001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201E" w:rsidRPr="004168F9">
        <w:rPr>
          <w:sz w:val="28"/>
          <w:szCs w:val="28"/>
        </w:rPr>
        <w:t xml:space="preserve">) </w:t>
      </w:r>
      <w:r w:rsidR="00547F6C" w:rsidRPr="004168F9">
        <w:rPr>
          <w:sz w:val="28"/>
          <w:szCs w:val="28"/>
        </w:rPr>
        <w:t xml:space="preserve">раздел 5 «Обоснование объема финансовых ресурсов, необходимых для реализации подпрограммы» подпрограммы «Развитие потребительского рынка и </w:t>
      </w:r>
      <w:proofErr w:type="spellStart"/>
      <w:r w:rsidR="00547F6C" w:rsidRPr="004168F9">
        <w:rPr>
          <w:sz w:val="28"/>
          <w:szCs w:val="28"/>
        </w:rPr>
        <w:t>внутримуниципальных</w:t>
      </w:r>
      <w:proofErr w:type="spellEnd"/>
      <w:r w:rsidR="00547F6C" w:rsidRPr="004168F9">
        <w:rPr>
          <w:sz w:val="28"/>
          <w:szCs w:val="28"/>
        </w:rPr>
        <w:t xml:space="preserve"> пассажирских перевозок в </w:t>
      </w:r>
      <w:proofErr w:type="spellStart"/>
      <w:r w:rsidR="00547F6C" w:rsidRPr="004168F9">
        <w:rPr>
          <w:sz w:val="28"/>
          <w:szCs w:val="28"/>
        </w:rPr>
        <w:t>Тербунском</w:t>
      </w:r>
      <w:proofErr w:type="spellEnd"/>
      <w:r w:rsidR="00547F6C" w:rsidRPr="004168F9">
        <w:rPr>
          <w:sz w:val="28"/>
          <w:szCs w:val="28"/>
        </w:rPr>
        <w:t xml:space="preserve"> муниципальном районе» муниципальной программы изложить в новой редакции: 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«5. Обоснование объема финансовых ресурсов, необходимых для реализации подпрограммы.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Общий объем финансирования мероприятий Подпрограммы предположительно составит всего </w:t>
      </w:r>
      <w:r w:rsidR="00A85B80">
        <w:rPr>
          <w:sz w:val="28"/>
          <w:szCs w:val="28"/>
        </w:rPr>
        <w:t>92</w:t>
      </w:r>
      <w:r w:rsidR="000318B8">
        <w:rPr>
          <w:sz w:val="28"/>
          <w:szCs w:val="28"/>
        </w:rPr>
        <w:t>740,9</w:t>
      </w:r>
      <w:r w:rsidRPr="004168F9">
        <w:rPr>
          <w:sz w:val="28"/>
          <w:szCs w:val="28"/>
        </w:rPr>
        <w:t xml:space="preserve"> тыс. руб., в том числе: 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за счет средств районного бюджета </w:t>
      </w:r>
      <w:r w:rsidR="00A85B80">
        <w:rPr>
          <w:sz w:val="28"/>
          <w:szCs w:val="28"/>
        </w:rPr>
        <w:t>80</w:t>
      </w:r>
      <w:r w:rsidR="000318B8">
        <w:rPr>
          <w:sz w:val="28"/>
          <w:szCs w:val="28"/>
        </w:rPr>
        <w:t>345,6</w:t>
      </w:r>
      <w:r w:rsidRPr="004168F9">
        <w:rPr>
          <w:sz w:val="28"/>
          <w:szCs w:val="28"/>
        </w:rPr>
        <w:t xml:space="preserve"> тыс. руб.;</w:t>
      </w:r>
    </w:p>
    <w:p w:rsidR="00547F6C" w:rsidRPr="004168F9" w:rsidRDefault="00547F6C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 xml:space="preserve">за счет средств областного бюджета </w:t>
      </w:r>
      <w:r w:rsidR="00FE6CF7">
        <w:rPr>
          <w:sz w:val="28"/>
          <w:szCs w:val="28"/>
        </w:rPr>
        <w:t>12395,3</w:t>
      </w:r>
      <w:r w:rsidRPr="004168F9">
        <w:rPr>
          <w:sz w:val="28"/>
          <w:szCs w:val="28"/>
        </w:rPr>
        <w:t xml:space="preserve"> тыс. руб.»</w:t>
      </w:r>
      <w:r w:rsidR="0044247F">
        <w:rPr>
          <w:sz w:val="28"/>
          <w:szCs w:val="28"/>
        </w:rPr>
        <w:t>;</w:t>
      </w:r>
    </w:p>
    <w:p w:rsidR="00547F6C" w:rsidRPr="004168F9" w:rsidRDefault="00FE6CF7" w:rsidP="00001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приложения </w:t>
      </w:r>
      <w:r w:rsidR="00547F6C" w:rsidRPr="004168F9">
        <w:rPr>
          <w:sz w:val="28"/>
          <w:szCs w:val="28"/>
        </w:rPr>
        <w:t>№2, №3 к муниципальной программе изложить в новой редакции (приложение).</w:t>
      </w:r>
    </w:p>
    <w:p w:rsidR="00C64CDC" w:rsidRPr="004168F9" w:rsidRDefault="00996CCE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2</w:t>
      </w:r>
      <w:r w:rsidR="00C64CDC" w:rsidRPr="004168F9">
        <w:rPr>
          <w:sz w:val="28"/>
          <w:szCs w:val="28"/>
        </w:rPr>
        <w:t>.</w:t>
      </w:r>
      <w:r w:rsidR="004D6B14" w:rsidRPr="004168F9">
        <w:rPr>
          <w:sz w:val="28"/>
          <w:szCs w:val="28"/>
        </w:rPr>
        <w:t xml:space="preserve"> </w:t>
      </w:r>
      <w:r w:rsidR="00C64CDC" w:rsidRPr="004168F9">
        <w:rPr>
          <w:sz w:val="28"/>
          <w:szCs w:val="28"/>
        </w:rPr>
        <w:t>Настоящее постановление опубликовать в районной газете «Маяк» и разместить на официальном сайте администрации района в сети Интернет.</w:t>
      </w:r>
    </w:p>
    <w:p w:rsidR="003B6047" w:rsidRPr="004168F9" w:rsidRDefault="00996CCE" w:rsidP="000010D5">
      <w:pPr>
        <w:ind w:firstLine="709"/>
        <w:jc w:val="both"/>
        <w:rPr>
          <w:sz w:val="28"/>
          <w:szCs w:val="28"/>
        </w:rPr>
      </w:pPr>
      <w:r w:rsidRPr="004168F9">
        <w:rPr>
          <w:sz w:val="28"/>
          <w:szCs w:val="28"/>
        </w:rPr>
        <w:t>3</w:t>
      </w:r>
      <w:r w:rsidR="00C64CDC" w:rsidRPr="004168F9">
        <w:rPr>
          <w:sz w:val="28"/>
          <w:szCs w:val="28"/>
        </w:rPr>
        <w:t xml:space="preserve">. Контроль за исполнением настоящего постановления </w:t>
      </w:r>
      <w:r w:rsidR="00A85B80">
        <w:rPr>
          <w:sz w:val="28"/>
          <w:szCs w:val="28"/>
        </w:rPr>
        <w:t>оставляю за собой</w:t>
      </w:r>
      <w:r w:rsidR="00C64CDC" w:rsidRPr="004168F9">
        <w:rPr>
          <w:sz w:val="28"/>
          <w:szCs w:val="28"/>
        </w:rPr>
        <w:t>.</w:t>
      </w:r>
    </w:p>
    <w:p w:rsidR="00E455A4" w:rsidRDefault="00E455A4" w:rsidP="000010D5">
      <w:pPr>
        <w:shd w:val="clear" w:color="auto" w:fill="FFFFFF"/>
        <w:tabs>
          <w:tab w:val="left" w:pos="0"/>
        </w:tabs>
        <w:ind w:right="14" w:firstLine="709"/>
        <w:jc w:val="both"/>
        <w:rPr>
          <w:sz w:val="24"/>
          <w:szCs w:val="24"/>
        </w:rPr>
      </w:pPr>
    </w:p>
    <w:p w:rsidR="00547F6C" w:rsidRPr="000E732E" w:rsidRDefault="00547F6C" w:rsidP="00E455A4">
      <w:pPr>
        <w:shd w:val="clear" w:color="auto" w:fill="FFFFFF"/>
        <w:tabs>
          <w:tab w:val="left" w:pos="0"/>
        </w:tabs>
        <w:ind w:right="14"/>
        <w:jc w:val="both"/>
        <w:rPr>
          <w:sz w:val="24"/>
          <w:szCs w:val="24"/>
        </w:rPr>
      </w:pPr>
    </w:p>
    <w:p w:rsidR="00E82063" w:rsidRPr="000E732E" w:rsidRDefault="00373A98" w:rsidP="00E455A4">
      <w:pPr>
        <w:shd w:val="clear" w:color="auto" w:fill="FFFFFF"/>
        <w:tabs>
          <w:tab w:val="left" w:pos="0"/>
        </w:tabs>
        <w:ind w:right="14"/>
        <w:jc w:val="both"/>
        <w:rPr>
          <w:sz w:val="24"/>
          <w:szCs w:val="24"/>
        </w:rPr>
      </w:pPr>
      <w:r w:rsidRPr="000E732E">
        <w:rPr>
          <w:sz w:val="24"/>
          <w:szCs w:val="24"/>
        </w:rPr>
        <w:tab/>
      </w:r>
    </w:p>
    <w:p w:rsidR="003E0CCC" w:rsidRDefault="004168F9" w:rsidP="00B355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0CC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0CCC">
        <w:rPr>
          <w:sz w:val="28"/>
          <w:szCs w:val="28"/>
        </w:rPr>
        <w:t xml:space="preserve"> администрации района</w:t>
      </w:r>
      <w:r w:rsidR="003E0CCC">
        <w:rPr>
          <w:sz w:val="28"/>
          <w:szCs w:val="28"/>
        </w:rPr>
        <w:tab/>
      </w:r>
      <w:r w:rsidR="003E0CCC">
        <w:rPr>
          <w:sz w:val="28"/>
          <w:szCs w:val="28"/>
        </w:rPr>
        <w:tab/>
      </w:r>
      <w:r w:rsidR="006C46C9">
        <w:rPr>
          <w:sz w:val="28"/>
          <w:szCs w:val="28"/>
        </w:rPr>
        <w:t xml:space="preserve"> </w:t>
      </w:r>
      <w:r w:rsidR="003E0CCC">
        <w:rPr>
          <w:sz w:val="28"/>
          <w:szCs w:val="28"/>
        </w:rPr>
        <w:t xml:space="preserve">              </w:t>
      </w:r>
      <w:r w:rsidR="00842513">
        <w:rPr>
          <w:sz w:val="28"/>
          <w:szCs w:val="28"/>
        </w:rPr>
        <w:t xml:space="preserve">          </w:t>
      </w:r>
      <w:r w:rsidR="009F62CF">
        <w:rPr>
          <w:sz w:val="28"/>
          <w:szCs w:val="28"/>
        </w:rPr>
        <w:t xml:space="preserve"> </w:t>
      </w:r>
      <w:r w:rsidR="00E17606">
        <w:rPr>
          <w:sz w:val="28"/>
          <w:szCs w:val="28"/>
        </w:rPr>
        <w:t xml:space="preserve">  </w:t>
      </w:r>
      <w:r w:rsidR="00411455">
        <w:rPr>
          <w:sz w:val="28"/>
          <w:szCs w:val="28"/>
        </w:rPr>
        <w:t xml:space="preserve"> </w:t>
      </w:r>
      <w:r w:rsidR="009F62CF">
        <w:rPr>
          <w:sz w:val="28"/>
          <w:szCs w:val="28"/>
        </w:rPr>
        <w:t xml:space="preserve">  </w:t>
      </w:r>
      <w:r w:rsidR="008425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547F6C">
        <w:rPr>
          <w:sz w:val="28"/>
          <w:szCs w:val="28"/>
        </w:rPr>
        <w:t>С.Н. Барабанщиков</w:t>
      </w:r>
    </w:p>
    <w:p w:rsidR="00966D84" w:rsidRDefault="00966D84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0010D5" w:rsidRDefault="000010D5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547F6C" w:rsidRDefault="00547F6C" w:rsidP="00B355D2">
      <w:pPr>
        <w:jc w:val="both"/>
        <w:rPr>
          <w:sz w:val="24"/>
          <w:szCs w:val="24"/>
        </w:rPr>
      </w:pPr>
    </w:p>
    <w:p w:rsidR="00A85B80" w:rsidRDefault="00A85B80" w:rsidP="00B355D2">
      <w:pPr>
        <w:jc w:val="both"/>
        <w:rPr>
          <w:sz w:val="24"/>
          <w:szCs w:val="24"/>
        </w:rPr>
      </w:pPr>
    </w:p>
    <w:p w:rsidR="00547F6C" w:rsidRPr="000E732E" w:rsidRDefault="00547F6C" w:rsidP="00B355D2">
      <w:pPr>
        <w:jc w:val="both"/>
        <w:rPr>
          <w:sz w:val="24"/>
          <w:szCs w:val="24"/>
        </w:rPr>
      </w:pPr>
    </w:p>
    <w:p w:rsidR="006E6CB1" w:rsidRPr="00BD28FE" w:rsidRDefault="006E6CB1" w:rsidP="006E6CB1">
      <w:pPr>
        <w:rPr>
          <w:sz w:val="24"/>
          <w:szCs w:val="24"/>
        </w:rPr>
      </w:pPr>
      <w:r w:rsidRPr="00BD28FE">
        <w:rPr>
          <w:sz w:val="24"/>
          <w:szCs w:val="24"/>
        </w:rPr>
        <w:t>Яцких Оксана Алексеевна</w:t>
      </w:r>
    </w:p>
    <w:p w:rsidR="006E6CB1" w:rsidRPr="00BD28FE" w:rsidRDefault="006E6CB1" w:rsidP="006E6CB1">
      <w:pPr>
        <w:rPr>
          <w:sz w:val="24"/>
          <w:szCs w:val="24"/>
        </w:rPr>
      </w:pPr>
      <w:r w:rsidRPr="00BD28FE">
        <w:rPr>
          <w:sz w:val="24"/>
          <w:szCs w:val="24"/>
        </w:rPr>
        <w:t>8(47474)</w:t>
      </w:r>
      <w:r w:rsidR="000010D5">
        <w:rPr>
          <w:sz w:val="24"/>
          <w:szCs w:val="24"/>
        </w:rPr>
        <w:t xml:space="preserve"> </w:t>
      </w:r>
      <w:r w:rsidRPr="00BD28FE">
        <w:rPr>
          <w:sz w:val="24"/>
          <w:szCs w:val="24"/>
        </w:rPr>
        <w:t>29886</w:t>
      </w:r>
    </w:p>
    <w:p w:rsidR="00996CCE" w:rsidRDefault="00996CCE" w:rsidP="00996CCE">
      <w:pPr>
        <w:rPr>
          <w:sz w:val="28"/>
          <w:szCs w:val="28"/>
        </w:rPr>
      </w:pPr>
      <w:r w:rsidRPr="004E6BD3">
        <w:rPr>
          <w:sz w:val="28"/>
          <w:szCs w:val="28"/>
        </w:rPr>
        <w:t>Вн</w:t>
      </w:r>
      <w:r>
        <w:rPr>
          <w:sz w:val="28"/>
          <w:szCs w:val="28"/>
        </w:rPr>
        <w:t>е</w:t>
      </w:r>
      <w:r w:rsidRPr="004E6BD3">
        <w:rPr>
          <w:sz w:val="28"/>
          <w:szCs w:val="28"/>
        </w:rPr>
        <w:t>с</w:t>
      </w:r>
      <w:r>
        <w:rPr>
          <w:sz w:val="28"/>
          <w:szCs w:val="28"/>
        </w:rPr>
        <w:t>ено</w:t>
      </w:r>
      <w:r w:rsidRPr="004E6BD3">
        <w:rPr>
          <w:sz w:val="28"/>
          <w:szCs w:val="28"/>
        </w:rPr>
        <w:t>:</w:t>
      </w:r>
    </w:p>
    <w:p w:rsidR="00996CCE" w:rsidRDefault="00996CCE" w:rsidP="00996CCE">
      <w:pPr>
        <w:rPr>
          <w:sz w:val="28"/>
          <w:szCs w:val="28"/>
        </w:rPr>
      </w:pPr>
      <w:r>
        <w:rPr>
          <w:sz w:val="28"/>
          <w:szCs w:val="28"/>
        </w:rPr>
        <w:t xml:space="preserve">Отдел экономики и муниципальных закупок       </w:t>
      </w:r>
      <w:r w:rsidR="00631FC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0010D5">
        <w:rPr>
          <w:sz w:val="28"/>
          <w:szCs w:val="28"/>
        </w:rPr>
        <w:t xml:space="preserve"> </w:t>
      </w:r>
      <w:proofErr w:type="spellStart"/>
      <w:r w:rsidR="000010D5">
        <w:rPr>
          <w:sz w:val="28"/>
          <w:szCs w:val="28"/>
        </w:rPr>
        <w:t>К.Л.</w:t>
      </w:r>
      <w:r w:rsidR="00631FC9">
        <w:rPr>
          <w:sz w:val="28"/>
          <w:szCs w:val="28"/>
        </w:rPr>
        <w:t>Мокроусова</w:t>
      </w:r>
      <w:proofErr w:type="spellEnd"/>
    </w:p>
    <w:p w:rsidR="00996CCE" w:rsidRDefault="00996CCE" w:rsidP="00996C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0010D5">
        <w:rPr>
          <w:sz w:val="28"/>
          <w:szCs w:val="28"/>
        </w:rPr>
        <w:t xml:space="preserve">                           01.08.2022</w:t>
      </w:r>
    </w:p>
    <w:p w:rsidR="00996CCE" w:rsidRPr="004E6BD3" w:rsidRDefault="00996CCE" w:rsidP="00996CCE">
      <w:pPr>
        <w:rPr>
          <w:sz w:val="28"/>
          <w:szCs w:val="28"/>
        </w:rPr>
      </w:pPr>
    </w:p>
    <w:p w:rsidR="00FE6CF7" w:rsidRDefault="00FE6CF7" w:rsidP="00FE6CF7">
      <w:pPr>
        <w:rPr>
          <w:sz w:val="28"/>
          <w:szCs w:val="28"/>
        </w:rPr>
      </w:pPr>
      <w:r>
        <w:rPr>
          <w:sz w:val="28"/>
          <w:szCs w:val="28"/>
        </w:rPr>
        <w:t>Визы</w:t>
      </w:r>
      <w:r w:rsidRPr="004E6B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E6CF7" w:rsidRDefault="00FE6CF7" w:rsidP="00FE6CF7">
      <w:pPr>
        <w:ind w:left="6663"/>
        <w:rPr>
          <w:sz w:val="28"/>
          <w:szCs w:val="28"/>
        </w:rPr>
      </w:pPr>
    </w:p>
    <w:p w:rsidR="00FE6CF7" w:rsidRDefault="00FE6CF7" w:rsidP="00FE6CF7">
      <w:pPr>
        <w:rPr>
          <w:sz w:val="28"/>
          <w:szCs w:val="28"/>
        </w:rPr>
      </w:pPr>
      <w:r>
        <w:rPr>
          <w:sz w:val="28"/>
          <w:szCs w:val="28"/>
        </w:rPr>
        <w:t xml:space="preserve">Отдел финансов                                               </w:t>
      </w:r>
      <w:r w:rsidR="00631FC9">
        <w:rPr>
          <w:sz w:val="28"/>
          <w:szCs w:val="28"/>
        </w:rPr>
        <w:t xml:space="preserve">                         </w:t>
      </w:r>
      <w:r w:rsidR="000010D5">
        <w:rPr>
          <w:sz w:val="28"/>
          <w:szCs w:val="28"/>
        </w:rPr>
        <w:t xml:space="preserve"> </w:t>
      </w:r>
      <w:r w:rsidR="00631FC9">
        <w:rPr>
          <w:sz w:val="28"/>
          <w:szCs w:val="28"/>
        </w:rPr>
        <w:t xml:space="preserve">      </w:t>
      </w:r>
      <w:r w:rsidR="00001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010D5">
        <w:rPr>
          <w:sz w:val="28"/>
          <w:szCs w:val="28"/>
        </w:rPr>
        <w:t>О.И.</w:t>
      </w:r>
      <w:r w:rsidR="00A85B80">
        <w:rPr>
          <w:sz w:val="28"/>
          <w:szCs w:val="28"/>
        </w:rPr>
        <w:t>Голощапова</w:t>
      </w:r>
      <w:proofErr w:type="spellEnd"/>
    </w:p>
    <w:p w:rsidR="00FE6CF7" w:rsidRDefault="000010D5" w:rsidP="00FE6CF7">
      <w:pPr>
        <w:tabs>
          <w:tab w:val="left" w:pos="75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01.08.2022</w:t>
      </w:r>
    </w:p>
    <w:p w:rsidR="000010D5" w:rsidRDefault="000010D5" w:rsidP="00FE6CF7">
      <w:pPr>
        <w:tabs>
          <w:tab w:val="left" w:pos="7548"/>
        </w:tabs>
        <w:rPr>
          <w:sz w:val="28"/>
          <w:szCs w:val="28"/>
        </w:rPr>
      </w:pPr>
    </w:p>
    <w:p w:rsidR="00FE6CF7" w:rsidRDefault="00FE6CF7" w:rsidP="00FE6CF7">
      <w:pPr>
        <w:tabs>
          <w:tab w:val="left" w:pos="7548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отдел                                                                                            </w:t>
      </w:r>
      <w:r w:rsidR="000010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Д.Ю.Киреев</w:t>
      </w:r>
      <w:proofErr w:type="spellEnd"/>
    </w:p>
    <w:p w:rsidR="00FE6CF7" w:rsidRDefault="000010D5" w:rsidP="00FE6CF7">
      <w:pPr>
        <w:tabs>
          <w:tab w:val="left" w:pos="7548"/>
        </w:tabs>
        <w:jc w:val="right"/>
        <w:rPr>
          <w:sz w:val="28"/>
          <w:szCs w:val="28"/>
        </w:rPr>
      </w:pPr>
      <w:r>
        <w:rPr>
          <w:sz w:val="28"/>
          <w:szCs w:val="28"/>
        </w:rPr>
        <w:t>01.08.2022</w:t>
      </w:r>
    </w:p>
    <w:p w:rsidR="00FE6CF7" w:rsidRDefault="00FE6CF7" w:rsidP="00FE6CF7">
      <w:pPr>
        <w:rPr>
          <w:sz w:val="28"/>
          <w:szCs w:val="28"/>
        </w:rPr>
      </w:pPr>
    </w:p>
    <w:p w:rsidR="00FE6CF7" w:rsidRDefault="00FE6CF7" w:rsidP="00FE6CF7">
      <w:pPr>
        <w:rPr>
          <w:sz w:val="28"/>
          <w:szCs w:val="28"/>
        </w:rPr>
      </w:pPr>
      <w:r w:rsidRPr="00030DFD">
        <w:rPr>
          <w:sz w:val="28"/>
          <w:szCs w:val="28"/>
        </w:rPr>
        <w:t xml:space="preserve">Отдел </w:t>
      </w:r>
      <w:r>
        <w:rPr>
          <w:sz w:val="28"/>
          <w:szCs w:val="28"/>
        </w:rPr>
        <w:t>организационно – кадровой</w:t>
      </w:r>
    </w:p>
    <w:p w:rsidR="00FE6CF7" w:rsidRDefault="00FE6CF7" w:rsidP="00FE6CF7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030DFD">
        <w:rPr>
          <w:sz w:val="28"/>
          <w:szCs w:val="28"/>
        </w:rPr>
        <w:t xml:space="preserve">правовой работы                </w:t>
      </w:r>
      <w:r>
        <w:rPr>
          <w:sz w:val="28"/>
          <w:szCs w:val="28"/>
        </w:rPr>
        <w:t xml:space="preserve">                                       </w:t>
      </w:r>
      <w:r w:rsidR="000010D5">
        <w:rPr>
          <w:sz w:val="28"/>
          <w:szCs w:val="28"/>
        </w:rPr>
        <w:t xml:space="preserve">                            </w:t>
      </w:r>
      <w:proofErr w:type="spellStart"/>
      <w:r w:rsidR="000010D5">
        <w:rPr>
          <w:sz w:val="28"/>
          <w:szCs w:val="28"/>
        </w:rPr>
        <w:t>Н.А.</w:t>
      </w:r>
      <w:r>
        <w:rPr>
          <w:sz w:val="28"/>
          <w:szCs w:val="28"/>
        </w:rPr>
        <w:t>Буркова</w:t>
      </w:r>
      <w:proofErr w:type="spellEnd"/>
    </w:p>
    <w:p w:rsidR="00FE6CF7" w:rsidRPr="004E6BD3" w:rsidRDefault="000010D5" w:rsidP="00FE6CF7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                       01.08.2022</w:t>
      </w:r>
    </w:p>
    <w:p w:rsidR="00996CCE" w:rsidRDefault="00996CCE" w:rsidP="00996CCE">
      <w:pPr>
        <w:jc w:val="both"/>
        <w:rPr>
          <w:sz w:val="28"/>
        </w:rPr>
      </w:pPr>
    </w:p>
    <w:p w:rsidR="00996CCE" w:rsidRDefault="00996CCE" w:rsidP="00996CCE">
      <w:pPr>
        <w:jc w:val="both"/>
        <w:rPr>
          <w:sz w:val="28"/>
        </w:rPr>
      </w:pPr>
    </w:p>
    <w:p w:rsidR="00996CCE" w:rsidRDefault="00996CCE" w:rsidP="00996CCE">
      <w:pPr>
        <w:jc w:val="both"/>
        <w:rPr>
          <w:sz w:val="28"/>
        </w:rPr>
      </w:pPr>
    </w:p>
    <w:p w:rsidR="00996CCE" w:rsidRDefault="00996CCE" w:rsidP="00996CCE">
      <w:pPr>
        <w:jc w:val="both"/>
        <w:rPr>
          <w:sz w:val="28"/>
        </w:rPr>
      </w:pPr>
    </w:p>
    <w:p w:rsidR="00996CCE" w:rsidRDefault="00996CCE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A85B80" w:rsidRDefault="00A85B80" w:rsidP="00996CCE">
      <w:pPr>
        <w:jc w:val="both"/>
        <w:rPr>
          <w:sz w:val="28"/>
        </w:rPr>
      </w:pPr>
    </w:p>
    <w:p w:rsidR="00A85B80" w:rsidRDefault="00A85B80" w:rsidP="00996CCE">
      <w:pPr>
        <w:jc w:val="both"/>
        <w:rPr>
          <w:sz w:val="28"/>
        </w:rPr>
      </w:pPr>
    </w:p>
    <w:p w:rsidR="00FE6CF7" w:rsidRDefault="00FE6CF7" w:rsidP="00996CCE">
      <w:pPr>
        <w:jc w:val="both"/>
        <w:rPr>
          <w:sz w:val="28"/>
        </w:rPr>
      </w:pPr>
    </w:p>
    <w:p w:rsidR="00FE6CF7" w:rsidRDefault="00FE6CF7" w:rsidP="00FE6CF7">
      <w:pPr>
        <w:jc w:val="both"/>
        <w:rPr>
          <w:sz w:val="28"/>
        </w:rPr>
      </w:pPr>
      <w:r>
        <w:rPr>
          <w:sz w:val="28"/>
        </w:rPr>
        <w:t xml:space="preserve">Список рассылки: 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</w:rPr>
      </w:pPr>
      <w:r>
        <w:rPr>
          <w:sz w:val="28"/>
        </w:rPr>
        <w:t>Прокуратура района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</w:rPr>
      </w:pPr>
      <w:r>
        <w:rPr>
          <w:sz w:val="28"/>
        </w:rPr>
        <w:t>Отдел финансов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</w:rPr>
      </w:pPr>
      <w:r>
        <w:rPr>
          <w:sz w:val="28"/>
        </w:rPr>
        <w:t>Отдел экономики и муниципальных закупок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</w:rPr>
      </w:pPr>
      <w:r>
        <w:rPr>
          <w:sz w:val="28"/>
        </w:rPr>
        <w:t>Отдел бухгалтерского учета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</w:rPr>
      </w:pPr>
      <w:r>
        <w:rPr>
          <w:sz w:val="28"/>
        </w:rPr>
        <w:lastRenderedPageBreak/>
        <w:t>От</w:t>
      </w:r>
      <w:r>
        <w:rPr>
          <w:sz w:val="28"/>
        </w:rPr>
        <w:softHyphen/>
        <w:t>дел организационно - кадровой и правовой работы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</w:rPr>
      </w:pPr>
      <w:r>
        <w:rPr>
          <w:sz w:val="28"/>
        </w:rPr>
        <w:t xml:space="preserve"> Общий отдел 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</w:rPr>
      </w:pPr>
      <w:r>
        <w:rPr>
          <w:sz w:val="28"/>
        </w:rPr>
        <w:t>Отдел информатизации</w:t>
      </w:r>
    </w:p>
    <w:p w:rsidR="00FE6CF7" w:rsidRDefault="00FE6CF7" w:rsidP="00FE6CF7">
      <w:pPr>
        <w:numPr>
          <w:ilvl w:val="0"/>
          <w:numId w:val="9"/>
        </w:numPr>
        <w:ind w:left="426" w:hanging="426"/>
        <w:jc w:val="both"/>
        <w:rPr>
          <w:sz w:val="28"/>
          <w:szCs w:val="28"/>
        </w:rPr>
      </w:pPr>
      <w:r>
        <w:rPr>
          <w:sz w:val="28"/>
        </w:rPr>
        <w:t>Ре</w:t>
      </w:r>
      <w:r>
        <w:rPr>
          <w:sz w:val="28"/>
        </w:rPr>
        <w:softHyphen/>
        <w:t>дак</w:t>
      </w:r>
      <w:r>
        <w:rPr>
          <w:sz w:val="28"/>
        </w:rPr>
        <w:softHyphen/>
        <w:t>ция газеты «Маяк»</w:t>
      </w:r>
      <w:r>
        <w:rPr>
          <w:sz w:val="28"/>
          <w:szCs w:val="28"/>
        </w:rPr>
        <w:t xml:space="preserve"> </w:t>
      </w:r>
    </w:p>
    <w:p w:rsidR="00966D84" w:rsidRDefault="00966D84" w:rsidP="00996CCE">
      <w:pPr>
        <w:jc w:val="both"/>
        <w:rPr>
          <w:sz w:val="28"/>
        </w:rPr>
      </w:pPr>
    </w:p>
    <w:p w:rsidR="00547F6C" w:rsidRDefault="00547F6C" w:rsidP="00FE6CF7">
      <w:pPr>
        <w:jc w:val="both"/>
        <w:rPr>
          <w:sz w:val="28"/>
        </w:rPr>
        <w:sectPr w:rsidR="00547F6C" w:rsidSect="000010D5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80D9A" w:rsidRPr="00E346F6" w:rsidRDefault="00E346F6" w:rsidP="000010D5">
      <w:pPr>
        <w:jc w:val="right"/>
        <w:rPr>
          <w:sz w:val="28"/>
          <w:szCs w:val="28"/>
        </w:rPr>
      </w:pPr>
      <w:r w:rsidRPr="00E346F6">
        <w:rPr>
          <w:sz w:val="28"/>
          <w:szCs w:val="28"/>
        </w:rPr>
        <w:lastRenderedPageBreak/>
        <w:t>Приложение к постановлению</w:t>
      </w:r>
    </w:p>
    <w:p w:rsidR="00E346F6" w:rsidRDefault="00E346F6" w:rsidP="000010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0010D5">
        <w:rPr>
          <w:sz w:val="28"/>
          <w:szCs w:val="28"/>
        </w:rPr>
        <w:t xml:space="preserve">                                </w:t>
      </w:r>
      <w:r w:rsidR="006453B3">
        <w:rPr>
          <w:sz w:val="28"/>
          <w:szCs w:val="28"/>
        </w:rPr>
        <w:t xml:space="preserve">                                       </w:t>
      </w:r>
      <w:r w:rsidR="000010D5">
        <w:rPr>
          <w:sz w:val="28"/>
          <w:szCs w:val="28"/>
        </w:rPr>
        <w:t xml:space="preserve"> </w:t>
      </w:r>
      <w:r w:rsidRPr="00E346F6">
        <w:rPr>
          <w:sz w:val="28"/>
          <w:szCs w:val="28"/>
        </w:rPr>
        <w:t xml:space="preserve">от </w:t>
      </w:r>
      <w:r w:rsidR="006453B3">
        <w:rPr>
          <w:sz w:val="28"/>
          <w:szCs w:val="28"/>
        </w:rPr>
        <w:t>01.08.2022</w:t>
      </w:r>
      <w:r w:rsidRPr="00E346F6">
        <w:rPr>
          <w:sz w:val="28"/>
          <w:szCs w:val="28"/>
        </w:rPr>
        <w:t xml:space="preserve"> №</w:t>
      </w:r>
      <w:r w:rsidR="006453B3">
        <w:rPr>
          <w:sz w:val="28"/>
          <w:szCs w:val="28"/>
        </w:rPr>
        <w:t xml:space="preserve"> 131</w:t>
      </w:r>
    </w:p>
    <w:p w:rsidR="006453B3" w:rsidRDefault="006453B3" w:rsidP="000010D5">
      <w:pPr>
        <w:jc w:val="center"/>
        <w:rPr>
          <w:sz w:val="28"/>
          <w:szCs w:val="28"/>
        </w:rPr>
      </w:pPr>
    </w:p>
    <w:p w:rsidR="00E346F6" w:rsidRPr="00F86FB2" w:rsidRDefault="00E346F6" w:rsidP="00E346F6">
      <w:pPr>
        <w:pStyle w:val="a3"/>
        <w:jc w:val="right"/>
        <w:rPr>
          <w:b w:val="0"/>
          <w:sz w:val="24"/>
          <w:szCs w:val="24"/>
        </w:rPr>
      </w:pPr>
      <w:r w:rsidRPr="00F86FB2">
        <w:rPr>
          <w:b w:val="0"/>
          <w:sz w:val="24"/>
          <w:szCs w:val="24"/>
        </w:rPr>
        <w:t xml:space="preserve">Приложение </w:t>
      </w:r>
      <w:r>
        <w:rPr>
          <w:b w:val="0"/>
          <w:sz w:val="24"/>
          <w:szCs w:val="24"/>
        </w:rPr>
        <w:t>№2</w:t>
      </w:r>
    </w:p>
    <w:p w:rsidR="00E346F6" w:rsidRPr="00F86FB2" w:rsidRDefault="00E346F6" w:rsidP="00E346F6">
      <w:pPr>
        <w:pStyle w:val="a3"/>
        <w:ind w:left="9498"/>
        <w:jc w:val="right"/>
        <w:rPr>
          <w:b w:val="0"/>
          <w:sz w:val="24"/>
          <w:szCs w:val="24"/>
        </w:rPr>
      </w:pPr>
      <w:r w:rsidRPr="00F86FB2">
        <w:rPr>
          <w:b w:val="0"/>
          <w:sz w:val="24"/>
          <w:szCs w:val="24"/>
        </w:rPr>
        <w:t>к муниципальной программе</w:t>
      </w:r>
    </w:p>
    <w:p w:rsidR="00E346F6" w:rsidRPr="00F86FB2" w:rsidRDefault="00E346F6" w:rsidP="00E346F6">
      <w:pPr>
        <w:pStyle w:val="a3"/>
        <w:ind w:left="9498"/>
        <w:jc w:val="right"/>
        <w:rPr>
          <w:b w:val="0"/>
          <w:sz w:val="24"/>
          <w:szCs w:val="24"/>
        </w:rPr>
      </w:pPr>
      <w:r w:rsidRPr="00F86FB2">
        <w:rPr>
          <w:b w:val="0"/>
          <w:sz w:val="24"/>
          <w:szCs w:val="24"/>
        </w:rPr>
        <w:t>«Развитие экономики Тербунского</w:t>
      </w:r>
    </w:p>
    <w:p w:rsidR="00E346F6" w:rsidRDefault="00E346F6" w:rsidP="00E346F6">
      <w:pPr>
        <w:pStyle w:val="a3"/>
        <w:ind w:left="9498"/>
        <w:jc w:val="right"/>
        <w:rPr>
          <w:b w:val="0"/>
          <w:sz w:val="24"/>
          <w:szCs w:val="24"/>
        </w:rPr>
      </w:pPr>
      <w:r w:rsidRPr="00F86FB2">
        <w:rPr>
          <w:b w:val="0"/>
          <w:sz w:val="24"/>
          <w:szCs w:val="24"/>
        </w:rPr>
        <w:t>муниципального района Липецкой области»</w:t>
      </w:r>
    </w:p>
    <w:p w:rsidR="00E346F6" w:rsidRPr="00735C91" w:rsidRDefault="00E346F6" w:rsidP="00E346F6">
      <w:pPr>
        <w:jc w:val="center"/>
        <w:rPr>
          <w:b/>
          <w:sz w:val="24"/>
          <w:szCs w:val="24"/>
        </w:rPr>
      </w:pPr>
      <w:r w:rsidRPr="00735C91">
        <w:rPr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E346F6" w:rsidRPr="00735C91" w:rsidRDefault="00E346F6" w:rsidP="00E346F6">
      <w:pPr>
        <w:jc w:val="center"/>
        <w:rPr>
          <w:b/>
          <w:sz w:val="24"/>
          <w:szCs w:val="24"/>
          <w:vertAlign w:val="superscript"/>
        </w:rPr>
      </w:pPr>
      <w:r w:rsidRPr="00735C91">
        <w:rPr>
          <w:b/>
          <w:sz w:val="24"/>
          <w:szCs w:val="24"/>
        </w:rPr>
        <w:t>«Развитие экономики Тербунского муниципального района Липецкой области»</w:t>
      </w:r>
    </w:p>
    <w:p w:rsidR="00E346F6" w:rsidRPr="00385F41" w:rsidRDefault="00E346F6" w:rsidP="00E346F6">
      <w:pPr>
        <w:jc w:val="center"/>
        <w:rPr>
          <w:sz w:val="24"/>
          <w:szCs w:val="24"/>
        </w:rPr>
      </w:pPr>
      <w:r w:rsidRPr="00385F41">
        <w:rPr>
          <w:sz w:val="24"/>
          <w:szCs w:val="24"/>
        </w:rPr>
        <w:t>за счет средств районного бюджета</w:t>
      </w:r>
    </w:p>
    <w:p w:rsidR="00E346F6" w:rsidRPr="00385F41" w:rsidRDefault="00E346F6" w:rsidP="00E346F6">
      <w:pPr>
        <w:jc w:val="right"/>
        <w:rPr>
          <w:sz w:val="24"/>
          <w:szCs w:val="24"/>
        </w:rPr>
      </w:pPr>
      <w:r w:rsidRPr="00385F41">
        <w:rPr>
          <w:sz w:val="24"/>
          <w:szCs w:val="24"/>
        </w:rPr>
        <w:t xml:space="preserve">                                                  </w:t>
      </w:r>
      <w:r w:rsidR="006453B3">
        <w:rPr>
          <w:sz w:val="24"/>
          <w:szCs w:val="24"/>
        </w:rPr>
        <w:t xml:space="preserve">                            </w:t>
      </w:r>
      <w:r w:rsidRPr="00385F41">
        <w:rPr>
          <w:sz w:val="24"/>
          <w:szCs w:val="24"/>
        </w:rPr>
        <w:t xml:space="preserve">                                                                                                                      Таблица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701"/>
        <w:gridCol w:w="709"/>
        <w:gridCol w:w="708"/>
        <w:gridCol w:w="567"/>
        <w:gridCol w:w="993"/>
        <w:gridCol w:w="851"/>
        <w:gridCol w:w="850"/>
        <w:gridCol w:w="851"/>
        <w:gridCol w:w="850"/>
        <w:gridCol w:w="851"/>
        <w:gridCol w:w="850"/>
        <w:gridCol w:w="851"/>
        <w:gridCol w:w="991"/>
        <w:gridCol w:w="709"/>
        <w:gridCol w:w="850"/>
        <w:gridCol w:w="851"/>
      </w:tblGrid>
      <w:tr w:rsidR="00E346F6" w:rsidRPr="00CC7E73" w:rsidTr="004168F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№ п/п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Наименование подпрограмм, основных мероприятий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Ответственный исполнитель, соисполнитель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Код бюджетной классификации</w:t>
            </w:r>
          </w:p>
        </w:tc>
        <w:tc>
          <w:tcPr>
            <w:tcW w:w="10348" w:type="dxa"/>
            <w:gridSpan w:val="12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Значение индикаторов и показателей</w:t>
            </w:r>
          </w:p>
        </w:tc>
      </w:tr>
      <w:tr w:rsidR="00E346F6" w:rsidRPr="00CC7E73" w:rsidTr="004168F9">
        <w:trPr>
          <w:trHeight w:val="675"/>
        </w:trPr>
        <w:tc>
          <w:tcPr>
            <w:tcW w:w="425" w:type="dxa"/>
            <w:vMerge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CC7E73">
              <w:rPr>
                <w:b/>
                <w:bCs/>
                <w:color w:val="000000" w:themeColor="text1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ЦСР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2014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2015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2016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2017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2018 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2019 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2020 г.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2021 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2022г.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2023г.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jc w:val="center"/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2024г.</w:t>
            </w:r>
          </w:p>
        </w:tc>
      </w:tr>
      <w:tr w:rsidR="00E346F6" w:rsidRPr="00CC7E73" w:rsidTr="004168F9">
        <w:trPr>
          <w:trHeight w:val="315"/>
        </w:trPr>
        <w:tc>
          <w:tcPr>
            <w:tcW w:w="425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46F6" w:rsidRPr="00CC7E73" w:rsidRDefault="00E346F6" w:rsidP="00E346F6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19</w:t>
            </w:r>
          </w:p>
        </w:tc>
      </w:tr>
      <w:tr w:rsidR="00A85B80" w:rsidRPr="00CC7E73" w:rsidTr="004168F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1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Развитие экономики Тербунского муниципального района Липецкой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85910,8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5944,8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6015,8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6432,1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7936,8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7152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8341,1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8130,9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10109,6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14859,7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5608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5380</w:t>
            </w:r>
          </w:p>
        </w:tc>
      </w:tr>
      <w:tr w:rsidR="00A85B80" w:rsidRPr="00CC7E73" w:rsidTr="004168F9">
        <w:trPr>
          <w:trHeight w:val="1890"/>
        </w:trPr>
        <w:tc>
          <w:tcPr>
            <w:tcW w:w="425" w:type="dxa"/>
            <w:vMerge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85910,8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5944,8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6015,8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6432,1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7936,8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8341,1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8130,9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10109,6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14859,7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5608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5380</w:t>
            </w:r>
          </w:p>
        </w:tc>
      </w:tr>
      <w:tr w:rsidR="00A85B80" w:rsidRPr="00CC7E73" w:rsidTr="004168F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2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Подпрограмма 1 "Развитие малого и среднего предпринимательства Тербунского муниципального района Липецкой области 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5565,2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147,1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560</w:t>
            </w:r>
          </w:p>
        </w:tc>
      </w:tr>
      <w:tr w:rsidR="00A85B80" w:rsidRPr="00CC7E73" w:rsidTr="004168F9">
        <w:trPr>
          <w:trHeight w:val="1890"/>
        </w:trPr>
        <w:tc>
          <w:tcPr>
            <w:tcW w:w="425" w:type="dxa"/>
            <w:vMerge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5565,2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423,8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754,5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952,1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333,6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85,9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147,1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433,6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433,6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560</w:t>
            </w:r>
          </w:p>
        </w:tc>
      </w:tr>
      <w:tr w:rsidR="00A85B80" w:rsidRPr="00CC7E73" w:rsidTr="004168F9">
        <w:trPr>
          <w:trHeight w:val="189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1 подпрограммы 1: Предоставление субсидий субъектам предпринимательской деятельности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3537,7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140,3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253,6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253,6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380</w:t>
            </w:r>
          </w:p>
        </w:tc>
      </w:tr>
      <w:tr w:rsidR="00A85B80" w:rsidRPr="00CC7E73" w:rsidTr="004168F9">
        <w:trPr>
          <w:trHeight w:val="315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3.1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1.1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субсидий на возмещение затрат по организации и развитию собственного дела начинающим субъектам малого предпринимательства (индивидуальным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 до 30 лет включительно, составляет не менее 50 процентов)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02101L064A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965,2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315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3.2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1.2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субсидий на возмещение затрат по созданию субъектов малого предпринимательства (вновь зарегистрированных и действующих менее одного года индивидуальных предпринимателей из числа безработных и юридических лиц, в уставном капитале (паевом фонде) которых доля, принадлежащая зарегистрированным безработным, составляет не менее 50 процентов)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02101L0649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2205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3.3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1.3 подпрограммы 1:</w:t>
            </w:r>
            <w:r w:rsidRPr="00CC7E73">
              <w:rPr>
                <w:color w:val="000000" w:themeColor="text1"/>
              </w:rPr>
              <w:br/>
              <w:t xml:space="preserve">Предоставление субсидий начинающим субъектам малого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</w:t>
            </w:r>
            <w:r w:rsidRPr="00CC7E73">
              <w:rPr>
                <w:color w:val="000000" w:themeColor="text1"/>
              </w:rPr>
              <w:lastRenderedPageBreak/>
              <w:t>по организации и развитию собственного дела.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02101S6400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1298,3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140,3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2205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3.4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1.4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субсидий начинающим субъектам социального предпринимательства (за исключением производственных кооперативов, потребительских кооперативов и крестьянских (фермерских) хозяйств) на возмещение затрат по организации и развитию собственного дела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0210186610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887,2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253,6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253,6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380</w:t>
            </w:r>
          </w:p>
        </w:tc>
      </w:tr>
      <w:tr w:rsidR="00A85B80" w:rsidRPr="00CC7E73" w:rsidTr="004168F9">
        <w:trPr>
          <w:trHeight w:val="189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2 подпрограммы 1: Предоставление субсидий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210260013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189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 подпрограммы 1: Предоставление субсидий сельскохозяйственным потребительским кооперативам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1213,2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290,5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85,9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110</w:t>
            </w:r>
          </w:p>
        </w:tc>
      </w:tr>
      <w:tr w:rsidR="00A85B80" w:rsidRPr="00CC7E73" w:rsidTr="004168F9">
        <w:trPr>
          <w:trHeight w:val="315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5.1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3.1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субсидий сельскохозяйственным кредитным потребительским кооперативам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0210260021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189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5.2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3.2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субсидии сельскохозяйственным кредитным потребительским кооперативам на пополнение оборотных средств.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0210360014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189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5.3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3.3 подпрограммы 1:</w:t>
            </w:r>
            <w:r w:rsidRPr="00CC7E73">
              <w:rPr>
                <w:color w:val="000000" w:themeColor="text1"/>
              </w:rPr>
              <w:br/>
              <w:t>Субсидии сельскохозяйственным кредитным потребительским кооперативам на возмещение части затрат по обслуживанию расчетного счета кооператива в банках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Отделы экономики и муниципальных закупок, аграрной политики и потребительского рынка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02104S6740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315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5.4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3.4 подпрограммы 1:</w:t>
            </w:r>
            <w:r w:rsidRPr="00CC7E73">
              <w:rPr>
                <w:color w:val="000000" w:themeColor="text1"/>
              </w:rPr>
              <w:br/>
              <w:t xml:space="preserve">Субсидии сельскохозяйственным кредитным потребительским кооперативам второго уровня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</w:t>
            </w:r>
            <w:r w:rsidRPr="00CC7E73">
              <w:rPr>
                <w:color w:val="000000" w:themeColor="text1"/>
              </w:rPr>
              <w:lastRenderedPageBreak/>
              <w:t>субъектов малого и среднего предпринимательства и сельскохозяйственной деятельности граждан, ведущих личное подсобное хозяйство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02105S6730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2205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5.5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3.5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субсидий сельскохозяйственным кредитным потребительским кооперативам на возмещение части затрат по вступлению кооперативов в Ассоциацию сельскохозяйственных потребительских кредитных кооперативов (Ассоциацию СПКК)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02107S6720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270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5.6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3.6 подпрограммы 1:</w:t>
            </w:r>
            <w:r w:rsidRPr="00CC7E73">
              <w:rPr>
                <w:color w:val="000000" w:themeColor="text1"/>
              </w:rPr>
              <w:br w:type="page"/>
              <w:t xml:space="preserve">Предоставление субсидий на формирование собственных средств сельскохозяйственных кредитных потребительских кооперативов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 </w:t>
            </w:r>
            <w:r w:rsidRPr="00CC7E73">
              <w:rPr>
                <w:color w:val="000000" w:themeColor="text1"/>
              </w:rPr>
              <w:br w:type="page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02103S6730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14,6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</w:t>
            </w:r>
          </w:p>
        </w:tc>
      </w:tr>
      <w:tr w:rsidR="00A85B80" w:rsidRPr="00CC7E73" w:rsidTr="004168F9">
        <w:trPr>
          <w:trHeight w:val="108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5.7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3.7 подпрограммы 1</w:t>
            </w:r>
            <w:r w:rsidRPr="00CC7E73">
              <w:rPr>
                <w:color w:val="000000" w:themeColor="text1"/>
              </w:rPr>
              <w:br/>
              <w:t>Предоставление субсидий на возмещение части затрат по обслуживанию расчетного счета в банках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021036740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15</w:t>
            </w:r>
          </w:p>
        </w:tc>
      </w:tr>
      <w:tr w:rsidR="00A85B80" w:rsidRPr="00CC7E73" w:rsidTr="004168F9">
        <w:trPr>
          <w:trHeight w:val="1725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5.8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3.8 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субсидий на возмещение части затрат по уплате членских взносов в межрегиональную ассоциацию сельскохозяйственных кредитных потребительских кооперативов «Единство» (МА СКПК «Единство»).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021036720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45,5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70</w:t>
            </w:r>
          </w:p>
        </w:tc>
      </w:tr>
      <w:tr w:rsidR="00A85B80" w:rsidRPr="00CC7E73" w:rsidTr="004168F9">
        <w:trPr>
          <w:trHeight w:val="378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5.9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 xml:space="preserve">Основное мероприятие 3.9  подпрограммы 1: </w:t>
            </w:r>
            <w:r w:rsidRPr="00CC7E73">
              <w:rPr>
                <w:color w:val="000000" w:themeColor="text1"/>
              </w:rPr>
              <w:br/>
              <w:t xml:space="preserve">Предоставление субсидий на обеспечение электронного документооборота по предоставлению отчетности в Банк России и/или приобретение компьютерной техники и/или приобретение лицензионного программного обеспечения для осуществления деятельности и/или обслуживание программных продуктов «Учет в </w:t>
            </w:r>
            <w:proofErr w:type="spellStart"/>
            <w:r w:rsidRPr="00CC7E73">
              <w:rPr>
                <w:color w:val="000000" w:themeColor="text1"/>
              </w:rPr>
              <w:t>микрофинансовых</w:t>
            </w:r>
            <w:proofErr w:type="spellEnd"/>
            <w:r w:rsidRPr="00CC7E73">
              <w:rPr>
                <w:color w:val="000000" w:themeColor="text1"/>
              </w:rPr>
              <w:t xml:space="preserve"> организациях» и «1С Бухгалтерия», </w:t>
            </w:r>
            <w:r w:rsidRPr="00CC7E73">
              <w:rPr>
                <w:color w:val="000000" w:themeColor="text1"/>
              </w:rPr>
              <w:lastRenderedPageBreak/>
              <w:t>связанных с ведением бухгалтерского учета в сельскохозяйственных кредитных потребительских кооперативах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0210360014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16,6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10</w:t>
            </w:r>
          </w:p>
        </w:tc>
      </w:tr>
      <w:tr w:rsidR="00A85B80" w:rsidRPr="00CC7E73" w:rsidTr="004168F9">
        <w:trPr>
          <w:trHeight w:val="252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4 подпрограммы 1:</w:t>
            </w:r>
            <w:r w:rsidRPr="00CC7E73">
              <w:rPr>
                <w:color w:val="000000" w:themeColor="text1"/>
              </w:rPr>
              <w:br/>
              <w:t>Предоставление субсидий юридическим лицам и индивидуальным предпринимателям из местного бюджета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02106S6050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4168F9">
        <w:trPr>
          <w:trHeight w:val="315"/>
        </w:trPr>
        <w:tc>
          <w:tcPr>
            <w:tcW w:w="425" w:type="dxa"/>
            <w:shd w:val="clear" w:color="auto" w:fill="auto"/>
            <w:vAlign w:val="center"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 xml:space="preserve">Основное мероприятие 5 подпрограммы 1:     Проведение мероприятий в </w:t>
            </w:r>
            <w:r w:rsidRPr="00CC7E73">
              <w:rPr>
                <w:color w:val="000000" w:themeColor="text1"/>
              </w:rPr>
              <w:lastRenderedPageBreak/>
              <w:t>целях развития малого и среднего предпринимательства (Закупка товаров и услуг для обеспечения государственных (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Отдел экономики и муниципальных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0210160016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274,3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70</w:t>
            </w:r>
          </w:p>
        </w:tc>
      </w:tr>
      <w:tr w:rsidR="00A85B80" w:rsidRPr="00CC7E73" w:rsidTr="004168F9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 xml:space="preserve">Подпрограмма 2 "Развитие потребительского рынка и </w:t>
            </w:r>
            <w:proofErr w:type="spellStart"/>
            <w:r w:rsidRPr="00CC7E73">
              <w:rPr>
                <w:b/>
                <w:bCs/>
                <w:color w:val="000000" w:themeColor="text1"/>
              </w:rPr>
              <w:t>внутримуниципальных</w:t>
            </w:r>
            <w:proofErr w:type="spellEnd"/>
            <w:r w:rsidRPr="00CC7E73">
              <w:rPr>
                <w:b/>
                <w:bCs/>
                <w:color w:val="000000" w:themeColor="text1"/>
              </w:rPr>
              <w:t xml:space="preserve"> пассажирских перевозок </w:t>
            </w:r>
            <w:proofErr w:type="spellStart"/>
            <w:r w:rsidRPr="00CC7E73">
              <w:rPr>
                <w:b/>
                <w:bCs/>
                <w:color w:val="000000" w:themeColor="text1"/>
              </w:rPr>
              <w:t>Тербунского</w:t>
            </w:r>
            <w:proofErr w:type="spellEnd"/>
            <w:r w:rsidRPr="00CC7E73">
              <w:rPr>
                <w:b/>
                <w:bCs/>
                <w:color w:val="000000" w:themeColor="text1"/>
              </w:rPr>
              <w:t xml:space="preserve"> муниципального района Липецкой области ".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  <w:r w:rsidRPr="00CC7E73">
              <w:rPr>
                <w:b/>
                <w:bCs/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80345,6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5106,8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5592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5677,6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6984,7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6549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8007,5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8045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9962,5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14426,1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5174,4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</w:rPr>
            </w:pPr>
            <w:r>
              <w:rPr>
                <w:b/>
                <w:bCs/>
              </w:rPr>
              <w:t>4820</w:t>
            </w:r>
          </w:p>
        </w:tc>
      </w:tr>
      <w:tr w:rsidR="00A85B80" w:rsidRPr="00CC7E73" w:rsidTr="004168F9">
        <w:trPr>
          <w:trHeight w:val="825"/>
        </w:trPr>
        <w:tc>
          <w:tcPr>
            <w:tcW w:w="425" w:type="dxa"/>
            <w:vMerge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A85B80" w:rsidRPr="00CC7E73" w:rsidRDefault="00A85B80" w:rsidP="00A85B80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80345,6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5677,6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6984,7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8007,5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8045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9962,5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14426,1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4820</w:t>
            </w:r>
          </w:p>
        </w:tc>
      </w:tr>
      <w:tr w:rsidR="00A85B80" w:rsidRPr="00CC7E73" w:rsidTr="004168F9">
        <w:trPr>
          <w:trHeight w:val="1260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9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1 подпрограммы 2:</w:t>
            </w:r>
            <w:r w:rsidRPr="00CC7E73">
              <w:rPr>
                <w:color w:val="000000" w:themeColor="text1"/>
              </w:rPr>
              <w:br/>
              <w:t>Предоставление субсидий на создание условий для обеспечения услугами торговли и бытового обслуживания поселений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02201S6060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1221,6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43,4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67,5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248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174,4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174,4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120</w:t>
            </w:r>
          </w:p>
        </w:tc>
      </w:tr>
      <w:tr w:rsidR="00A85B80" w:rsidRPr="00CC7E73" w:rsidTr="00631FC9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2 подпрограммы 2:</w:t>
            </w:r>
            <w:r w:rsidRPr="00CC7E73">
              <w:rPr>
                <w:color w:val="000000" w:themeColor="text1"/>
              </w:rPr>
              <w:br/>
              <w:t xml:space="preserve">Предоставление субсидий на компенсацию выпадающих доходов, возникающих вследствие регулирования тарифов на перевозку </w:t>
            </w:r>
            <w:r w:rsidRPr="00CC7E73">
              <w:rPr>
                <w:color w:val="000000" w:themeColor="text1"/>
              </w:rPr>
              <w:lastRenderedPageBreak/>
              <w:t>пассажиров автомобильным транспортом общего 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220260050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72682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5065,5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6941,3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7915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9714,5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8159,7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4700</w:t>
            </w:r>
          </w:p>
        </w:tc>
      </w:tr>
      <w:tr w:rsidR="00A85B80" w:rsidRPr="00CC7E73" w:rsidTr="00631FC9">
        <w:trPr>
          <w:trHeight w:val="1575"/>
        </w:trPr>
        <w:tc>
          <w:tcPr>
            <w:tcW w:w="425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Основное мероприятие 3 подпрограммы 2:</w:t>
            </w:r>
            <w:r w:rsidRPr="00CC7E73">
              <w:rPr>
                <w:color w:val="000000" w:themeColor="text1"/>
              </w:rPr>
              <w:br/>
              <w:t>Приобретение автобусов в муниципальную собственность для осуществления перевозок по маршрутам регулярных перевозок по регулируемым тарифам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Отдел экономики и муниципальных закупок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702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0408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 w:rsidRPr="00CC7E73">
              <w:rPr>
                <w:color w:val="000000" w:themeColor="text1"/>
              </w:rPr>
              <w:t>02203S6190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  <w:tr w:rsidR="00A85B80" w:rsidRPr="00CC7E73" w:rsidTr="00631FC9">
        <w:trPr>
          <w:trHeight w:val="1575"/>
        </w:trPr>
        <w:tc>
          <w:tcPr>
            <w:tcW w:w="425" w:type="dxa"/>
            <w:shd w:val="clear" w:color="auto" w:fill="auto"/>
            <w:vAlign w:val="center"/>
          </w:tcPr>
          <w:p w:rsidR="00A85B80" w:rsidRPr="00CC7E73" w:rsidRDefault="00A85B80" w:rsidP="00A85B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Основное мероприятие 4 подпрограммы 2:</w:t>
            </w:r>
            <w:r>
              <w:br/>
              <w:t>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Отдел экономики и муниципальных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702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0220260060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6092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6092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r>
              <w:t>0</w:t>
            </w:r>
          </w:p>
        </w:tc>
      </w:tr>
    </w:tbl>
    <w:p w:rsidR="00E346F6" w:rsidRDefault="00E346F6" w:rsidP="00E346F6">
      <w:pPr>
        <w:jc w:val="right"/>
        <w:rPr>
          <w:sz w:val="24"/>
          <w:szCs w:val="24"/>
        </w:rPr>
      </w:pPr>
    </w:p>
    <w:p w:rsidR="00E346F6" w:rsidRDefault="00E346F6" w:rsidP="00E346F6">
      <w:pPr>
        <w:jc w:val="right"/>
        <w:rPr>
          <w:sz w:val="24"/>
          <w:szCs w:val="24"/>
        </w:rPr>
      </w:pPr>
    </w:p>
    <w:p w:rsidR="00E346F6" w:rsidRPr="00023A64" w:rsidRDefault="00E346F6" w:rsidP="00E346F6">
      <w:pPr>
        <w:jc w:val="right"/>
        <w:rPr>
          <w:sz w:val="24"/>
          <w:szCs w:val="24"/>
        </w:rPr>
      </w:pPr>
      <w:r w:rsidRPr="00023A64">
        <w:rPr>
          <w:sz w:val="24"/>
          <w:szCs w:val="24"/>
        </w:rPr>
        <w:lastRenderedPageBreak/>
        <w:t>Приложение № 3</w:t>
      </w:r>
    </w:p>
    <w:p w:rsidR="00E346F6" w:rsidRPr="00023A64" w:rsidRDefault="00E346F6" w:rsidP="00E346F6">
      <w:pPr>
        <w:ind w:left="9498"/>
        <w:jc w:val="right"/>
        <w:rPr>
          <w:sz w:val="24"/>
          <w:szCs w:val="24"/>
        </w:rPr>
      </w:pPr>
      <w:r w:rsidRPr="00023A64">
        <w:rPr>
          <w:sz w:val="24"/>
          <w:szCs w:val="24"/>
        </w:rPr>
        <w:t>к муниципальной программе</w:t>
      </w:r>
    </w:p>
    <w:p w:rsidR="00E346F6" w:rsidRPr="00023A64" w:rsidRDefault="00E346F6" w:rsidP="00E346F6">
      <w:pPr>
        <w:ind w:left="9498"/>
        <w:jc w:val="right"/>
        <w:rPr>
          <w:sz w:val="24"/>
          <w:szCs w:val="24"/>
        </w:rPr>
      </w:pPr>
      <w:r w:rsidRPr="00023A64">
        <w:rPr>
          <w:sz w:val="24"/>
          <w:szCs w:val="24"/>
        </w:rPr>
        <w:t>«Развитие экономики Тербунского</w:t>
      </w:r>
    </w:p>
    <w:p w:rsidR="00E346F6" w:rsidRPr="00023A64" w:rsidRDefault="00E346F6" w:rsidP="00E346F6">
      <w:pPr>
        <w:ind w:left="9498"/>
        <w:jc w:val="right"/>
        <w:rPr>
          <w:sz w:val="24"/>
          <w:szCs w:val="24"/>
        </w:rPr>
      </w:pPr>
      <w:r w:rsidRPr="00023A64">
        <w:rPr>
          <w:sz w:val="24"/>
          <w:szCs w:val="24"/>
        </w:rPr>
        <w:t xml:space="preserve">муниципального района Липецкой области» </w:t>
      </w:r>
    </w:p>
    <w:p w:rsidR="00E346F6" w:rsidRPr="00023A64" w:rsidRDefault="00E346F6" w:rsidP="00E346F6">
      <w:pPr>
        <w:ind w:left="9498"/>
        <w:jc w:val="right"/>
        <w:rPr>
          <w:b/>
          <w:sz w:val="24"/>
          <w:szCs w:val="24"/>
        </w:rPr>
      </w:pPr>
    </w:p>
    <w:p w:rsidR="00E346F6" w:rsidRPr="00023A64" w:rsidRDefault="00E346F6" w:rsidP="00E346F6">
      <w:pPr>
        <w:jc w:val="center"/>
        <w:rPr>
          <w:b/>
          <w:sz w:val="24"/>
          <w:szCs w:val="24"/>
        </w:rPr>
      </w:pPr>
      <w:r w:rsidRPr="00023A64">
        <w:rPr>
          <w:b/>
          <w:sz w:val="24"/>
          <w:szCs w:val="24"/>
        </w:rPr>
        <w:t>Прогнозная оценка расходов по источникам ресурсного обеспечения на реализацию муниципальной программы</w:t>
      </w:r>
    </w:p>
    <w:p w:rsidR="00E346F6" w:rsidRPr="00023A64" w:rsidRDefault="00E346F6" w:rsidP="00E346F6">
      <w:pPr>
        <w:jc w:val="center"/>
        <w:rPr>
          <w:b/>
          <w:sz w:val="24"/>
          <w:szCs w:val="24"/>
        </w:rPr>
      </w:pPr>
      <w:r w:rsidRPr="00023A64">
        <w:rPr>
          <w:b/>
          <w:sz w:val="24"/>
          <w:szCs w:val="24"/>
        </w:rPr>
        <w:t>«Развитие экономики Тербунского муниципального района Липецкой области»</w:t>
      </w:r>
    </w:p>
    <w:p w:rsidR="00E346F6" w:rsidRPr="00023A64" w:rsidRDefault="00E346F6" w:rsidP="00E346F6">
      <w:pPr>
        <w:jc w:val="right"/>
        <w:rPr>
          <w:sz w:val="24"/>
          <w:szCs w:val="24"/>
        </w:rPr>
      </w:pPr>
      <w:r w:rsidRPr="00023A6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Таблица</w:t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1985"/>
        <w:gridCol w:w="1134"/>
        <w:gridCol w:w="992"/>
        <w:gridCol w:w="851"/>
        <w:gridCol w:w="850"/>
        <w:gridCol w:w="992"/>
        <w:gridCol w:w="709"/>
        <w:gridCol w:w="992"/>
        <w:gridCol w:w="851"/>
        <w:gridCol w:w="992"/>
        <w:gridCol w:w="992"/>
        <w:gridCol w:w="993"/>
        <w:gridCol w:w="991"/>
      </w:tblGrid>
      <w:tr w:rsidR="00E346F6" w:rsidRPr="00023A64" w:rsidTr="00E346F6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/>
              </w:rPr>
            </w:pPr>
            <w:r w:rsidRPr="00E346F6">
              <w:rPr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/>
              </w:rPr>
            </w:pPr>
            <w:r w:rsidRPr="00E346F6">
              <w:rPr>
                <w:color w:val="000000"/>
              </w:rPr>
              <w:t>Наименование подпрограмм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/>
              </w:rPr>
            </w:pPr>
            <w:r w:rsidRPr="00E346F6">
              <w:rPr>
                <w:color w:val="000000"/>
              </w:rPr>
              <w:t>Источники ресурсного обеспечения</w:t>
            </w:r>
          </w:p>
        </w:tc>
        <w:tc>
          <w:tcPr>
            <w:tcW w:w="113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/>
              </w:rPr>
            </w:pPr>
            <w:r w:rsidRPr="00E346F6">
              <w:rPr>
                <w:color w:val="000000"/>
              </w:rPr>
              <w:t>Расходы (тыс. руб.)</w:t>
            </w:r>
          </w:p>
        </w:tc>
      </w:tr>
      <w:tr w:rsidR="00E346F6" w:rsidRPr="00023A64" w:rsidTr="00E346F6">
        <w:trPr>
          <w:trHeight w:val="63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F6" w:rsidRPr="00E346F6" w:rsidRDefault="00E346F6" w:rsidP="00E346F6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F6" w:rsidRPr="00E346F6" w:rsidRDefault="00E346F6" w:rsidP="00E346F6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46F6" w:rsidRPr="00E346F6" w:rsidRDefault="00E346F6" w:rsidP="00E346F6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2014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2016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2021г.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2022г.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2023г.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2024г.</w:t>
            </w:r>
          </w:p>
        </w:tc>
      </w:tr>
      <w:tr w:rsidR="00E346F6" w:rsidRPr="00023A64" w:rsidTr="00E346F6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/>
              </w:rPr>
            </w:pPr>
            <w:r w:rsidRPr="00E346F6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/>
              </w:rPr>
            </w:pPr>
            <w:r w:rsidRPr="00E346F6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/>
              </w:rPr>
            </w:pPr>
            <w:r w:rsidRPr="00E346F6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6F6" w:rsidRPr="00E346F6" w:rsidRDefault="00E346F6" w:rsidP="00E346F6">
            <w:pPr>
              <w:jc w:val="center"/>
              <w:rPr>
                <w:color w:val="000000" w:themeColor="text1"/>
              </w:rPr>
            </w:pPr>
            <w:r w:rsidRPr="00E346F6">
              <w:rPr>
                <w:color w:val="000000" w:themeColor="text1"/>
              </w:rPr>
              <w:t>15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Муниципальная программа "Развитие экономики Тербунского муниципального района Липецкой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b/>
                <w:bCs/>
                <w:color w:val="000000"/>
              </w:rPr>
            </w:pPr>
            <w:r w:rsidRPr="00E346F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119260,6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12336,8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10588,7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11329,4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16704,6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7882,99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6739,57</w:t>
            </w:r>
          </w:p>
        </w:tc>
      </w:tr>
      <w:tr w:rsidR="00A85B80" w:rsidRPr="00023A64" w:rsidTr="00E346F6">
        <w:trPr>
          <w:trHeight w:val="6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B80" w:rsidRPr="00023A64" w:rsidTr="00E346F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26761,27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1359,57</w:t>
            </w:r>
          </w:p>
        </w:tc>
      </w:tr>
      <w:tr w:rsidR="00A85B80" w:rsidRPr="00023A64" w:rsidTr="00E346F6">
        <w:trPr>
          <w:trHeight w:val="219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85910,84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5607,99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бюджеты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Подпрограмма 1 "Развитие малого и среднего предпринимательства Тербунского муниципального района Липецкой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b/>
                <w:bCs/>
                <w:color w:val="000000"/>
              </w:rPr>
            </w:pPr>
            <w:r w:rsidRPr="00E346F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734,35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702,99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815,57</w:t>
            </w:r>
          </w:p>
        </w:tc>
      </w:tr>
      <w:tr w:rsidR="00A85B80" w:rsidRPr="00023A64" w:rsidTr="00E346F6">
        <w:trPr>
          <w:trHeight w:val="6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1647,7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14365,97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255,57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 xml:space="preserve">Подпрограмма 2 "Развитие потребительского рынка и </w:t>
            </w:r>
            <w:proofErr w:type="spellStart"/>
            <w:r w:rsidRPr="00E346F6">
              <w:rPr>
                <w:color w:val="000000"/>
              </w:rPr>
              <w:t>внутримуниципальных</w:t>
            </w:r>
            <w:proofErr w:type="spellEnd"/>
            <w:r w:rsidRPr="00E346F6">
              <w:rPr>
                <w:color w:val="000000"/>
              </w:rPr>
              <w:t xml:space="preserve"> пассажирских перевозок </w:t>
            </w:r>
            <w:proofErr w:type="spellStart"/>
            <w:r w:rsidRPr="00E346F6">
              <w:rPr>
                <w:color w:val="000000"/>
              </w:rPr>
              <w:t>Тербунского</w:t>
            </w:r>
            <w:proofErr w:type="spellEnd"/>
            <w:r w:rsidRPr="00E346F6">
              <w:rPr>
                <w:color w:val="000000"/>
              </w:rPr>
              <w:t xml:space="preserve"> муниципального района Липецкой области".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b/>
                <w:bCs/>
                <w:color w:val="000000"/>
              </w:rPr>
            </w:pPr>
            <w:r w:rsidRPr="00E346F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92740,9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6464,7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15970,2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5924</w:t>
            </w:r>
          </w:p>
        </w:tc>
      </w:tr>
      <w:tr w:rsidR="00A85B80" w:rsidRPr="00023A64" w:rsidTr="00E346F6">
        <w:trPr>
          <w:trHeight w:val="6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4820</w:t>
            </w:r>
          </w:p>
        </w:tc>
      </w:tr>
      <w:tr w:rsidR="00A85B80" w:rsidRPr="00023A64" w:rsidTr="00E346F6">
        <w:trPr>
          <w:trHeight w:val="30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B80" w:rsidRPr="00E346F6" w:rsidRDefault="00A85B80" w:rsidP="00A85B80">
            <w:pPr>
              <w:rPr>
                <w:color w:val="000000"/>
              </w:rPr>
            </w:pPr>
            <w:r w:rsidRPr="00E346F6">
              <w:rPr>
                <w:color w:val="000000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B80" w:rsidRDefault="00A85B80" w:rsidP="00A85B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346F6" w:rsidRPr="00E346F6" w:rsidRDefault="00E346F6" w:rsidP="00E346F6">
      <w:pPr>
        <w:jc w:val="center"/>
        <w:rPr>
          <w:sz w:val="28"/>
          <w:szCs w:val="28"/>
        </w:rPr>
      </w:pPr>
    </w:p>
    <w:sectPr w:rsidR="00E346F6" w:rsidRPr="00E346F6" w:rsidSect="00E346F6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866"/>
    <w:multiLevelType w:val="hybridMultilevel"/>
    <w:tmpl w:val="4CE68BA6"/>
    <w:lvl w:ilvl="0" w:tplc="1432295E">
      <w:start w:val="1"/>
      <w:numFmt w:val="decimal"/>
      <w:lvlText w:val="%1)"/>
      <w:lvlJc w:val="left"/>
      <w:pPr>
        <w:ind w:left="1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7" w:hanging="360"/>
      </w:pPr>
    </w:lvl>
    <w:lvl w:ilvl="2" w:tplc="0419001B" w:tentative="1">
      <w:start w:val="1"/>
      <w:numFmt w:val="lowerRoman"/>
      <w:lvlText w:val="%3."/>
      <w:lvlJc w:val="right"/>
      <w:pPr>
        <w:ind w:left="3157" w:hanging="180"/>
      </w:pPr>
    </w:lvl>
    <w:lvl w:ilvl="3" w:tplc="0419000F" w:tentative="1">
      <w:start w:val="1"/>
      <w:numFmt w:val="decimal"/>
      <w:lvlText w:val="%4."/>
      <w:lvlJc w:val="left"/>
      <w:pPr>
        <w:ind w:left="3877" w:hanging="360"/>
      </w:pPr>
    </w:lvl>
    <w:lvl w:ilvl="4" w:tplc="04190019" w:tentative="1">
      <w:start w:val="1"/>
      <w:numFmt w:val="lowerLetter"/>
      <w:lvlText w:val="%5."/>
      <w:lvlJc w:val="left"/>
      <w:pPr>
        <w:ind w:left="4597" w:hanging="360"/>
      </w:pPr>
    </w:lvl>
    <w:lvl w:ilvl="5" w:tplc="0419001B" w:tentative="1">
      <w:start w:val="1"/>
      <w:numFmt w:val="lowerRoman"/>
      <w:lvlText w:val="%6."/>
      <w:lvlJc w:val="right"/>
      <w:pPr>
        <w:ind w:left="5317" w:hanging="180"/>
      </w:pPr>
    </w:lvl>
    <w:lvl w:ilvl="6" w:tplc="0419000F" w:tentative="1">
      <w:start w:val="1"/>
      <w:numFmt w:val="decimal"/>
      <w:lvlText w:val="%7."/>
      <w:lvlJc w:val="left"/>
      <w:pPr>
        <w:ind w:left="6037" w:hanging="360"/>
      </w:pPr>
    </w:lvl>
    <w:lvl w:ilvl="7" w:tplc="04190019" w:tentative="1">
      <w:start w:val="1"/>
      <w:numFmt w:val="lowerLetter"/>
      <w:lvlText w:val="%8."/>
      <w:lvlJc w:val="left"/>
      <w:pPr>
        <w:ind w:left="6757" w:hanging="360"/>
      </w:pPr>
    </w:lvl>
    <w:lvl w:ilvl="8" w:tplc="0419001B" w:tentative="1">
      <w:start w:val="1"/>
      <w:numFmt w:val="lowerRoman"/>
      <w:lvlText w:val="%9."/>
      <w:lvlJc w:val="right"/>
      <w:pPr>
        <w:ind w:left="7477" w:hanging="180"/>
      </w:pPr>
    </w:lvl>
  </w:abstractNum>
  <w:abstractNum w:abstractNumId="1">
    <w:nsid w:val="1F844684"/>
    <w:multiLevelType w:val="singleLevel"/>
    <w:tmpl w:val="0DEED14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27174B94"/>
    <w:multiLevelType w:val="hybridMultilevel"/>
    <w:tmpl w:val="46664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7719D"/>
    <w:multiLevelType w:val="hybridMultilevel"/>
    <w:tmpl w:val="CAE8BF5A"/>
    <w:lvl w:ilvl="0" w:tplc="099846C0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7" w:hanging="360"/>
      </w:pPr>
    </w:lvl>
    <w:lvl w:ilvl="2" w:tplc="0419001B" w:tentative="1">
      <w:start w:val="1"/>
      <w:numFmt w:val="lowerRoman"/>
      <w:lvlText w:val="%3."/>
      <w:lvlJc w:val="right"/>
      <w:pPr>
        <w:ind w:left="2797" w:hanging="180"/>
      </w:pPr>
    </w:lvl>
    <w:lvl w:ilvl="3" w:tplc="0419000F" w:tentative="1">
      <w:start w:val="1"/>
      <w:numFmt w:val="decimal"/>
      <w:lvlText w:val="%4."/>
      <w:lvlJc w:val="left"/>
      <w:pPr>
        <w:ind w:left="3517" w:hanging="360"/>
      </w:pPr>
    </w:lvl>
    <w:lvl w:ilvl="4" w:tplc="04190019" w:tentative="1">
      <w:start w:val="1"/>
      <w:numFmt w:val="lowerLetter"/>
      <w:lvlText w:val="%5."/>
      <w:lvlJc w:val="left"/>
      <w:pPr>
        <w:ind w:left="4237" w:hanging="360"/>
      </w:pPr>
    </w:lvl>
    <w:lvl w:ilvl="5" w:tplc="0419001B" w:tentative="1">
      <w:start w:val="1"/>
      <w:numFmt w:val="lowerRoman"/>
      <w:lvlText w:val="%6."/>
      <w:lvlJc w:val="right"/>
      <w:pPr>
        <w:ind w:left="4957" w:hanging="180"/>
      </w:pPr>
    </w:lvl>
    <w:lvl w:ilvl="6" w:tplc="0419000F" w:tentative="1">
      <w:start w:val="1"/>
      <w:numFmt w:val="decimal"/>
      <w:lvlText w:val="%7."/>
      <w:lvlJc w:val="left"/>
      <w:pPr>
        <w:ind w:left="5677" w:hanging="360"/>
      </w:pPr>
    </w:lvl>
    <w:lvl w:ilvl="7" w:tplc="04190019" w:tentative="1">
      <w:start w:val="1"/>
      <w:numFmt w:val="lowerLetter"/>
      <w:lvlText w:val="%8."/>
      <w:lvlJc w:val="left"/>
      <w:pPr>
        <w:ind w:left="6397" w:hanging="360"/>
      </w:pPr>
    </w:lvl>
    <w:lvl w:ilvl="8" w:tplc="0419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">
    <w:nsid w:val="3BBD03BA"/>
    <w:multiLevelType w:val="multilevel"/>
    <w:tmpl w:val="531A7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DB69AE"/>
    <w:multiLevelType w:val="hybridMultilevel"/>
    <w:tmpl w:val="47F4D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64F74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E84E7A"/>
    <w:multiLevelType w:val="multilevel"/>
    <w:tmpl w:val="CA5EF4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7B136C30"/>
    <w:multiLevelType w:val="multilevel"/>
    <w:tmpl w:val="5B60064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7F27425B"/>
    <w:multiLevelType w:val="hybridMultilevel"/>
    <w:tmpl w:val="7D1CFFB6"/>
    <w:lvl w:ilvl="0" w:tplc="62CCB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CC"/>
    <w:rsid w:val="000010D5"/>
    <w:rsid w:val="00005724"/>
    <w:rsid w:val="00013482"/>
    <w:rsid w:val="00014EEA"/>
    <w:rsid w:val="000210C1"/>
    <w:rsid w:val="00023A28"/>
    <w:rsid w:val="0002721D"/>
    <w:rsid w:val="00031405"/>
    <w:rsid w:val="000318B8"/>
    <w:rsid w:val="00032264"/>
    <w:rsid w:val="00032E0D"/>
    <w:rsid w:val="0003566D"/>
    <w:rsid w:val="0004031D"/>
    <w:rsid w:val="00042116"/>
    <w:rsid w:val="00054052"/>
    <w:rsid w:val="00055AD5"/>
    <w:rsid w:val="00057D2F"/>
    <w:rsid w:val="0006082C"/>
    <w:rsid w:val="00071E0C"/>
    <w:rsid w:val="00073738"/>
    <w:rsid w:val="00074E45"/>
    <w:rsid w:val="000815DC"/>
    <w:rsid w:val="00082047"/>
    <w:rsid w:val="0008244B"/>
    <w:rsid w:val="00085231"/>
    <w:rsid w:val="000852EA"/>
    <w:rsid w:val="000854ED"/>
    <w:rsid w:val="000923B8"/>
    <w:rsid w:val="00093256"/>
    <w:rsid w:val="00096F7B"/>
    <w:rsid w:val="000973B4"/>
    <w:rsid w:val="000A011F"/>
    <w:rsid w:val="000A2E2A"/>
    <w:rsid w:val="000A4C4F"/>
    <w:rsid w:val="000A5CDC"/>
    <w:rsid w:val="000A6ACC"/>
    <w:rsid w:val="000B6CB6"/>
    <w:rsid w:val="000C1A7E"/>
    <w:rsid w:val="000C5A8F"/>
    <w:rsid w:val="000C7315"/>
    <w:rsid w:val="000D065D"/>
    <w:rsid w:val="000D177B"/>
    <w:rsid w:val="000E0DF6"/>
    <w:rsid w:val="000E732E"/>
    <w:rsid w:val="000F08F6"/>
    <w:rsid w:val="000F5A7F"/>
    <w:rsid w:val="00100F55"/>
    <w:rsid w:val="001041F1"/>
    <w:rsid w:val="001074BB"/>
    <w:rsid w:val="001109BB"/>
    <w:rsid w:val="001142F2"/>
    <w:rsid w:val="00132232"/>
    <w:rsid w:val="00132AE6"/>
    <w:rsid w:val="001431BB"/>
    <w:rsid w:val="00145E0B"/>
    <w:rsid w:val="00155CD8"/>
    <w:rsid w:val="00164738"/>
    <w:rsid w:val="00165E34"/>
    <w:rsid w:val="00166613"/>
    <w:rsid w:val="001677AD"/>
    <w:rsid w:val="0017293B"/>
    <w:rsid w:val="00176A0F"/>
    <w:rsid w:val="001779FE"/>
    <w:rsid w:val="00177CE1"/>
    <w:rsid w:val="00180A0F"/>
    <w:rsid w:val="001874EE"/>
    <w:rsid w:val="001904DC"/>
    <w:rsid w:val="001A0842"/>
    <w:rsid w:val="001A1CC0"/>
    <w:rsid w:val="001A51C5"/>
    <w:rsid w:val="001C188C"/>
    <w:rsid w:val="001C2E1A"/>
    <w:rsid w:val="001C5295"/>
    <w:rsid w:val="001C5685"/>
    <w:rsid w:val="001C59F4"/>
    <w:rsid w:val="001D1598"/>
    <w:rsid w:val="001D3B32"/>
    <w:rsid w:val="001D3C28"/>
    <w:rsid w:val="001D5746"/>
    <w:rsid w:val="001E1270"/>
    <w:rsid w:val="001E500B"/>
    <w:rsid w:val="001E6939"/>
    <w:rsid w:val="001F0556"/>
    <w:rsid w:val="001F10A8"/>
    <w:rsid w:val="001F3A54"/>
    <w:rsid w:val="001F6FF3"/>
    <w:rsid w:val="001F7B21"/>
    <w:rsid w:val="00200407"/>
    <w:rsid w:val="00206183"/>
    <w:rsid w:val="0021170B"/>
    <w:rsid w:val="00213495"/>
    <w:rsid w:val="00214738"/>
    <w:rsid w:val="002203BB"/>
    <w:rsid w:val="002207F5"/>
    <w:rsid w:val="00222DD1"/>
    <w:rsid w:val="00222ECE"/>
    <w:rsid w:val="00223C5C"/>
    <w:rsid w:val="00226995"/>
    <w:rsid w:val="00231912"/>
    <w:rsid w:val="00233C85"/>
    <w:rsid w:val="00236867"/>
    <w:rsid w:val="00237AAF"/>
    <w:rsid w:val="002403C2"/>
    <w:rsid w:val="0024414B"/>
    <w:rsid w:val="00244B4E"/>
    <w:rsid w:val="00244D8B"/>
    <w:rsid w:val="0025234E"/>
    <w:rsid w:val="002527DC"/>
    <w:rsid w:val="00254213"/>
    <w:rsid w:val="00261176"/>
    <w:rsid w:val="0026154B"/>
    <w:rsid w:val="002638A6"/>
    <w:rsid w:val="00266FF8"/>
    <w:rsid w:val="00271670"/>
    <w:rsid w:val="0028489E"/>
    <w:rsid w:val="0028614E"/>
    <w:rsid w:val="00287F9C"/>
    <w:rsid w:val="002901DB"/>
    <w:rsid w:val="00290331"/>
    <w:rsid w:val="002903F1"/>
    <w:rsid w:val="00290F18"/>
    <w:rsid w:val="00292536"/>
    <w:rsid w:val="00294A50"/>
    <w:rsid w:val="0029512F"/>
    <w:rsid w:val="00297905"/>
    <w:rsid w:val="002A1CF8"/>
    <w:rsid w:val="002A6388"/>
    <w:rsid w:val="002A6F8B"/>
    <w:rsid w:val="002B5B0A"/>
    <w:rsid w:val="002B7952"/>
    <w:rsid w:val="002C00A2"/>
    <w:rsid w:val="002C2234"/>
    <w:rsid w:val="002C28F4"/>
    <w:rsid w:val="002C5624"/>
    <w:rsid w:val="002C6A69"/>
    <w:rsid w:val="002D4CAF"/>
    <w:rsid w:val="002D6BD1"/>
    <w:rsid w:val="002E0720"/>
    <w:rsid w:val="002E0BFD"/>
    <w:rsid w:val="002E1393"/>
    <w:rsid w:val="002E721A"/>
    <w:rsid w:val="002F0B3D"/>
    <w:rsid w:val="002F13D4"/>
    <w:rsid w:val="002F2943"/>
    <w:rsid w:val="002F35DC"/>
    <w:rsid w:val="002F7240"/>
    <w:rsid w:val="002F7A74"/>
    <w:rsid w:val="00301673"/>
    <w:rsid w:val="00307A6B"/>
    <w:rsid w:val="003102B1"/>
    <w:rsid w:val="00311011"/>
    <w:rsid w:val="00315ACA"/>
    <w:rsid w:val="00315CB6"/>
    <w:rsid w:val="00321D70"/>
    <w:rsid w:val="003240CD"/>
    <w:rsid w:val="00333EC4"/>
    <w:rsid w:val="003407FE"/>
    <w:rsid w:val="003423C3"/>
    <w:rsid w:val="003424D8"/>
    <w:rsid w:val="00351476"/>
    <w:rsid w:val="0035403E"/>
    <w:rsid w:val="003560D3"/>
    <w:rsid w:val="00361DCE"/>
    <w:rsid w:val="0036204C"/>
    <w:rsid w:val="00365485"/>
    <w:rsid w:val="00366C5C"/>
    <w:rsid w:val="00371CA4"/>
    <w:rsid w:val="00373A98"/>
    <w:rsid w:val="00380102"/>
    <w:rsid w:val="00382BDE"/>
    <w:rsid w:val="00385331"/>
    <w:rsid w:val="00386AEC"/>
    <w:rsid w:val="003872D5"/>
    <w:rsid w:val="00397760"/>
    <w:rsid w:val="003A538D"/>
    <w:rsid w:val="003A5698"/>
    <w:rsid w:val="003B2432"/>
    <w:rsid w:val="003B4E9D"/>
    <w:rsid w:val="003B6047"/>
    <w:rsid w:val="003E03CD"/>
    <w:rsid w:val="003E0CCC"/>
    <w:rsid w:val="003E5C5E"/>
    <w:rsid w:val="003F1D8F"/>
    <w:rsid w:val="003F2D4B"/>
    <w:rsid w:val="003F4716"/>
    <w:rsid w:val="00400EF3"/>
    <w:rsid w:val="004037E5"/>
    <w:rsid w:val="004047AC"/>
    <w:rsid w:val="00411455"/>
    <w:rsid w:val="00412307"/>
    <w:rsid w:val="004168F9"/>
    <w:rsid w:val="00423F46"/>
    <w:rsid w:val="00424737"/>
    <w:rsid w:val="0042529C"/>
    <w:rsid w:val="00425A72"/>
    <w:rsid w:val="00426F93"/>
    <w:rsid w:val="00431C91"/>
    <w:rsid w:val="00442320"/>
    <w:rsid w:val="0044247F"/>
    <w:rsid w:val="00445000"/>
    <w:rsid w:val="00446BD1"/>
    <w:rsid w:val="00450E51"/>
    <w:rsid w:val="00453E79"/>
    <w:rsid w:val="00455320"/>
    <w:rsid w:val="00457001"/>
    <w:rsid w:val="00460179"/>
    <w:rsid w:val="004656EC"/>
    <w:rsid w:val="00470724"/>
    <w:rsid w:val="00473347"/>
    <w:rsid w:val="00475D91"/>
    <w:rsid w:val="00476B9F"/>
    <w:rsid w:val="00476F4A"/>
    <w:rsid w:val="00477D6E"/>
    <w:rsid w:val="00480B36"/>
    <w:rsid w:val="004825E9"/>
    <w:rsid w:val="00492F4A"/>
    <w:rsid w:val="004942FB"/>
    <w:rsid w:val="00495CCA"/>
    <w:rsid w:val="004972DD"/>
    <w:rsid w:val="004A0EE3"/>
    <w:rsid w:val="004A18A7"/>
    <w:rsid w:val="004A2873"/>
    <w:rsid w:val="004A5262"/>
    <w:rsid w:val="004A77AD"/>
    <w:rsid w:val="004B2882"/>
    <w:rsid w:val="004B6EAD"/>
    <w:rsid w:val="004C2981"/>
    <w:rsid w:val="004D40EE"/>
    <w:rsid w:val="004D5A61"/>
    <w:rsid w:val="004D6B14"/>
    <w:rsid w:val="004D7F9C"/>
    <w:rsid w:val="004E2571"/>
    <w:rsid w:val="004E2BC7"/>
    <w:rsid w:val="004E340C"/>
    <w:rsid w:val="004F0C44"/>
    <w:rsid w:val="0051702E"/>
    <w:rsid w:val="00520477"/>
    <w:rsid w:val="00522215"/>
    <w:rsid w:val="00527C58"/>
    <w:rsid w:val="00530FC2"/>
    <w:rsid w:val="005310A2"/>
    <w:rsid w:val="0053324E"/>
    <w:rsid w:val="005445DB"/>
    <w:rsid w:val="00547992"/>
    <w:rsid w:val="00547F6C"/>
    <w:rsid w:val="00552CE5"/>
    <w:rsid w:val="00555D1D"/>
    <w:rsid w:val="0056013A"/>
    <w:rsid w:val="005609BD"/>
    <w:rsid w:val="005631C8"/>
    <w:rsid w:val="00563488"/>
    <w:rsid w:val="00564439"/>
    <w:rsid w:val="00570008"/>
    <w:rsid w:val="00571945"/>
    <w:rsid w:val="0058383A"/>
    <w:rsid w:val="00592827"/>
    <w:rsid w:val="005A2CB6"/>
    <w:rsid w:val="005A762E"/>
    <w:rsid w:val="005B06FB"/>
    <w:rsid w:val="005B0CB0"/>
    <w:rsid w:val="005B2525"/>
    <w:rsid w:val="005C21C1"/>
    <w:rsid w:val="005C221F"/>
    <w:rsid w:val="005C23BD"/>
    <w:rsid w:val="005D4DBB"/>
    <w:rsid w:val="005D53FF"/>
    <w:rsid w:val="005D5895"/>
    <w:rsid w:val="005E3A59"/>
    <w:rsid w:val="005E61FA"/>
    <w:rsid w:val="005F55E2"/>
    <w:rsid w:val="005F7FD9"/>
    <w:rsid w:val="0060076F"/>
    <w:rsid w:val="00601B36"/>
    <w:rsid w:val="00603300"/>
    <w:rsid w:val="00604218"/>
    <w:rsid w:val="006043A4"/>
    <w:rsid w:val="00604D4C"/>
    <w:rsid w:val="006056BE"/>
    <w:rsid w:val="0061067F"/>
    <w:rsid w:val="00611791"/>
    <w:rsid w:val="006135E1"/>
    <w:rsid w:val="00615703"/>
    <w:rsid w:val="00617159"/>
    <w:rsid w:val="00620CC6"/>
    <w:rsid w:val="0062124A"/>
    <w:rsid w:val="006229A3"/>
    <w:rsid w:val="00624729"/>
    <w:rsid w:val="00625107"/>
    <w:rsid w:val="00631FC9"/>
    <w:rsid w:val="006353B7"/>
    <w:rsid w:val="00636226"/>
    <w:rsid w:val="00637720"/>
    <w:rsid w:val="006422F6"/>
    <w:rsid w:val="006453B3"/>
    <w:rsid w:val="00646E0B"/>
    <w:rsid w:val="00650CC5"/>
    <w:rsid w:val="00652D47"/>
    <w:rsid w:val="00653B37"/>
    <w:rsid w:val="00654091"/>
    <w:rsid w:val="00654CA6"/>
    <w:rsid w:val="0065517B"/>
    <w:rsid w:val="00655252"/>
    <w:rsid w:val="0065669A"/>
    <w:rsid w:val="00660D15"/>
    <w:rsid w:val="006730A4"/>
    <w:rsid w:val="006745E3"/>
    <w:rsid w:val="00677F32"/>
    <w:rsid w:val="00680D9A"/>
    <w:rsid w:val="006839ED"/>
    <w:rsid w:val="00683A9A"/>
    <w:rsid w:val="00683E8C"/>
    <w:rsid w:val="00686DA5"/>
    <w:rsid w:val="006909B3"/>
    <w:rsid w:val="00690C63"/>
    <w:rsid w:val="006A37CA"/>
    <w:rsid w:val="006A45B7"/>
    <w:rsid w:val="006A483D"/>
    <w:rsid w:val="006A7258"/>
    <w:rsid w:val="006B3962"/>
    <w:rsid w:val="006B5F11"/>
    <w:rsid w:val="006C41F2"/>
    <w:rsid w:val="006C46C9"/>
    <w:rsid w:val="006C6601"/>
    <w:rsid w:val="006C74C6"/>
    <w:rsid w:val="006D0A2A"/>
    <w:rsid w:val="006D1135"/>
    <w:rsid w:val="006D3F45"/>
    <w:rsid w:val="006D58AC"/>
    <w:rsid w:val="006D6EB1"/>
    <w:rsid w:val="006E3081"/>
    <w:rsid w:val="006E6BF5"/>
    <w:rsid w:val="006E6CB1"/>
    <w:rsid w:val="006E7E5F"/>
    <w:rsid w:val="006F2DDE"/>
    <w:rsid w:val="006F449E"/>
    <w:rsid w:val="00700767"/>
    <w:rsid w:val="007007F0"/>
    <w:rsid w:val="00703539"/>
    <w:rsid w:val="00704AC4"/>
    <w:rsid w:val="00710196"/>
    <w:rsid w:val="007126D7"/>
    <w:rsid w:val="00726E40"/>
    <w:rsid w:val="00731602"/>
    <w:rsid w:val="007327CD"/>
    <w:rsid w:val="00732E27"/>
    <w:rsid w:val="007356AE"/>
    <w:rsid w:val="00740985"/>
    <w:rsid w:val="00740CEA"/>
    <w:rsid w:val="00744FD6"/>
    <w:rsid w:val="007458E7"/>
    <w:rsid w:val="00752764"/>
    <w:rsid w:val="0076018A"/>
    <w:rsid w:val="007658C7"/>
    <w:rsid w:val="00766662"/>
    <w:rsid w:val="00777367"/>
    <w:rsid w:val="00777FD2"/>
    <w:rsid w:val="0078062F"/>
    <w:rsid w:val="00783CDF"/>
    <w:rsid w:val="00791A34"/>
    <w:rsid w:val="007A48E6"/>
    <w:rsid w:val="007B5464"/>
    <w:rsid w:val="007C1A21"/>
    <w:rsid w:val="007C721B"/>
    <w:rsid w:val="007D108D"/>
    <w:rsid w:val="007D2719"/>
    <w:rsid w:val="007E0285"/>
    <w:rsid w:val="007E6E91"/>
    <w:rsid w:val="007F0203"/>
    <w:rsid w:val="007F271F"/>
    <w:rsid w:val="007F3990"/>
    <w:rsid w:val="00800957"/>
    <w:rsid w:val="00804D7F"/>
    <w:rsid w:val="00812D68"/>
    <w:rsid w:val="00825E63"/>
    <w:rsid w:val="008260FE"/>
    <w:rsid w:val="008301CA"/>
    <w:rsid w:val="00831C94"/>
    <w:rsid w:val="008333F5"/>
    <w:rsid w:val="00833A09"/>
    <w:rsid w:val="00835C31"/>
    <w:rsid w:val="00837354"/>
    <w:rsid w:val="00841332"/>
    <w:rsid w:val="00842513"/>
    <w:rsid w:val="00842698"/>
    <w:rsid w:val="008428F5"/>
    <w:rsid w:val="00843A8C"/>
    <w:rsid w:val="008463FE"/>
    <w:rsid w:val="00847140"/>
    <w:rsid w:val="0085051F"/>
    <w:rsid w:val="008515DD"/>
    <w:rsid w:val="00854D4B"/>
    <w:rsid w:val="00860DA9"/>
    <w:rsid w:val="00861B82"/>
    <w:rsid w:val="00864AD3"/>
    <w:rsid w:val="00870049"/>
    <w:rsid w:val="00874302"/>
    <w:rsid w:val="00876BC0"/>
    <w:rsid w:val="00896032"/>
    <w:rsid w:val="00896BAC"/>
    <w:rsid w:val="008A3325"/>
    <w:rsid w:val="008A38A8"/>
    <w:rsid w:val="008A4A58"/>
    <w:rsid w:val="008B0D91"/>
    <w:rsid w:val="008B0DAD"/>
    <w:rsid w:val="008B2954"/>
    <w:rsid w:val="008B3324"/>
    <w:rsid w:val="008B72DB"/>
    <w:rsid w:val="008C0709"/>
    <w:rsid w:val="008C5DA6"/>
    <w:rsid w:val="008D004C"/>
    <w:rsid w:val="008D3994"/>
    <w:rsid w:val="008D5A71"/>
    <w:rsid w:val="008E4997"/>
    <w:rsid w:val="008F2367"/>
    <w:rsid w:val="008F266A"/>
    <w:rsid w:val="008F6C12"/>
    <w:rsid w:val="008F7BEE"/>
    <w:rsid w:val="009122AD"/>
    <w:rsid w:val="009155A1"/>
    <w:rsid w:val="009159C1"/>
    <w:rsid w:val="00923F35"/>
    <w:rsid w:val="00926B55"/>
    <w:rsid w:val="00926F34"/>
    <w:rsid w:val="009279A3"/>
    <w:rsid w:val="009344E8"/>
    <w:rsid w:val="00934931"/>
    <w:rsid w:val="00943FCC"/>
    <w:rsid w:val="00944E87"/>
    <w:rsid w:val="00945A04"/>
    <w:rsid w:val="00946139"/>
    <w:rsid w:val="00963D9D"/>
    <w:rsid w:val="00966D84"/>
    <w:rsid w:val="00967672"/>
    <w:rsid w:val="00971610"/>
    <w:rsid w:val="00975FE9"/>
    <w:rsid w:val="00982995"/>
    <w:rsid w:val="009934F8"/>
    <w:rsid w:val="00995ED9"/>
    <w:rsid w:val="00996CCE"/>
    <w:rsid w:val="009B580F"/>
    <w:rsid w:val="009B6917"/>
    <w:rsid w:val="009C1F93"/>
    <w:rsid w:val="009C3AB3"/>
    <w:rsid w:val="009D4187"/>
    <w:rsid w:val="009D4D03"/>
    <w:rsid w:val="009E201E"/>
    <w:rsid w:val="009E237F"/>
    <w:rsid w:val="009E71BE"/>
    <w:rsid w:val="009F4D53"/>
    <w:rsid w:val="009F62CF"/>
    <w:rsid w:val="009F7565"/>
    <w:rsid w:val="00A02235"/>
    <w:rsid w:val="00A042FD"/>
    <w:rsid w:val="00A12B08"/>
    <w:rsid w:val="00A22D1C"/>
    <w:rsid w:val="00A23144"/>
    <w:rsid w:val="00A26FCD"/>
    <w:rsid w:val="00A3019C"/>
    <w:rsid w:val="00A3257A"/>
    <w:rsid w:val="00A326B0"/>
    <w:rsid w:val="00A3399D"/>
    <w:rsid w:val="00A35583"/>
    <w:rsid w:val="00A42B0C"/>
    <w:rsid w:val="00A439AD"/>
    <w:rsid w:val="00A50D46"/>
    <w:rsid w:val="00A70D19"/>
    <w:rsid w:val="00A70EED"/>
    <w:rsid w:val="00A7144B"/>
    <w:rsid w:val="00A72923"/>
    <w:rsid w:val="00A7789D"/>
    <w:rsid w:val="00A8028E"/>
    <w:rsid w:val="00A81C8C"/>
    <w:rsid w:val="00A84523"/>
    <w:rsid w:val="00A85B80"/>
    <w:rsid w:val="00A8623F"/>
    <w:rsid w:val="00A930C4"/>
    <w:rsid w:val="00A950BF"/>
    <w:rsid w:val="00A959DD"/>
    <w:rsid w:val="00AA2127"/>
    <w:rsid w:val="00AA32AC"/>
    <w:rsid w:val="00AA3356"/>
    <w:rsid w:val="00AA4525"/>
    <w:rsid w:val="00AA5C7A"/>
    <w:rsid w:val="00AA754E"/>
    <w:rsid w:val="00AB25B7"/>
    <w:rsid w:val="00AB75E6"/>
    <w:rsid w:val="00AD023C"/>
    <w:rsid w:val="00AD035B"/>
    <w:rsid w:val="00AD46D6"/>
    <w:rsid w:val="00AD68C4"/>
    <w:rsid w:val="00AF029F"/>
    <w:rsid w:val="00AF0C82"/>
    <w:rsid w:val="00B05CC0"/>
    <w:rsid w:val="00B1024B"/>
    <w:rsid w:val="00B11F33"/>
    <w:rsid w:val="00B14A3A"/>
    <w:rsid w:val="00B170AF"/>
    <w:rsid w:val="00B215D4"/>
    <w:rsid w:val="00B22127"/>
    <w:rsid w:val="00B355D2"/>
    <w:rsid w:val="00B35E8C"/>
    <w:rsid w:val="00B37E5A"/>
    <w:rsid w:val="00B4018C"/>
    <w:rsid w:val="00B411DE"/>
    <w:rsid w:val="00B41F1F"/>
    <w:rsid w:val="00B44D34"/>
    <w:rsid w:val="00B4696F"/>
    <w:rsid w:val="00B670E6"/>
    <w:rsid w:val="00B74775"/>
    <w:rsid w:val="00B803EB"/>
    <w:rsid w:val="00B8117E"/>
    <w:rsid w:val="00B8277F"/>
    <w:rsid w:val="00B82AA8"/>
    <w:rsid w:val="00B84D2E"/>
    <w:rsid w:val="00B85C61"/>
    <w:rsid w:val="00BA407D"/>
    <w:rsid w:val="00BB323F"/>
    <w:rsid w:val="00BB3961"/>
    <w:rsid w:val="00BB7C97"/>
    <w:rsid w:val="00BC4CAE"/>
    <w:rsid w:val="00BC5028"/>
    <w:rsid w:val="00BD256C"/>
    <w:rsid w:val="00BD28FE"/>
    <w:rsid w:val="00BD328E"/>
    <w:rsid w:val="00BD3995"/>
    <w:rsid w:val="00BD678A"/>
    <w:rsid w:val="00BD7AAD"/>
    <w:rsid w:val="00BE1F16"/>
    <w:rsid w:val="00BF3653"/>
    <w:rsid w:val="00C01F19"/>
    <w:rsid w:val="00C038A5"/>
    <w:rsid w:val="00C056A1"/>
    <w:rsid w:val="00C13E5E"/>
    <w:rsid w:val="00C23646"/>
    <w:rsid w:val="00C35DE9"/>
    <w:rsid w:val="00C3662D"/>
    <w:rsid w:val="00C371A9"/>
    <w:rsid w:val="00C3771B"/>
    <w:rsid w:val="00C44EE7"/>
    <w:rsid w:val="00C46C2E"/>
    <w:rsid w:val="00C51F57"/>
    <w:rsid w:val="00C64C35"/>
    <w:rsid w:val="00C64CDC"/>
    <w:rsid w:val="00C65FA6"/>
    <w:rsid w:val="00C67EAC"/>
    <w:rsid w:val="00C75D46"/>
    <w:rsid w:val="00C75DC2"/>
    <w:rsid w:val="00C76970"/>
    <w:rsid w:val="00C8305D"/>
    <w:rsid w:val="00C845A6"/>
    <w:rsid w:val="00C869FE"/>
    <w:rsid w:val="00C87FDA"/>
    <w:rsid w:val="00C90137"/>
    <w:rsid w:val="00C96E16"/>
    <w:rsid w:val="00CA05AC"/>
    <w:rsid w:val="00CA231B"/>
    <w:rsid w:val="00CA51FF"/>
    <w:rsid w:val="00CA6F32"/>
    <w:rsid w:val="00CA79B1"/>
    <w:rsid w:val="00CA7DCA"/>
    <w:rsid w:val="00CC7E73"/>
    <w:rsid w:val="00CD20C7"/>
    <w:rsid w:val="00CD2D5A"/>
    <w:rsid w:val="00CE018A"/>
    <w:rsid w:val="00CE1C4E"/>
    <w:rsid w:val="00CE2297"/>
    <w:rsid w:val="00CE4FAE"/>
    <w:rsid w:val="00CF21F9"/>
    <w:rsid w:val="00D01F86"/>
    <w:rsid w:val="00D02CB0"/>
    <w:rsid w:val="00D0532B"/>
    <w:rsid w:val="00D060BE"/>
    <w:rsid w:val="00D061B6"/>
    <w:rsid w:val="00D068B1"/>
    <w:rsid w:val="00D10E01"/>
    <w:rsid w:val="00D16702"/>
    <w:rsid w:val="00D2329B"/>
    <w:rsid w:val="00D241CB"/>
    <w:rsid w:val="00D25476"/>
    <w:rsid w:val="00D30C2F"/>
    <w:rsid w:val="00D310D8"/>
    <w:rsid w:val="00D31D15"/>
    <w:rsid w:val="00D51345"/>
    <w:rsid w:val="00D549DA"/>
    <w:rsid w:val="00D636D3"/>
    <w:rsid w:val="00D70C16"/>
    <w:rsid w:val="00D74170"/>
    <w:rsid w:val="00D746D6"/>
    <w:rsid w:val="00D74D20"/>
    <w:rsid w:val="00D74F0F"/>
    <w:rsid w:val="00D8146B"/>
    <w:rsid w:val="00D825B5"/>
    <w:rsid w:val="00D830A9"/>
    <w:rsid w:val="00D8364E"/>
    <w:rsid w:val="00D85940"/>
    <w:rsid w:val="00D8790E"/>
    <w:rsid w:val="00D913DD"/>
    <w:rsid w:val="00D92067"/>
    <w:rsid w:val="00D93222"/>
    <w:rsid w:val="00D9571A"/>
    <w:rsid w:val="00DA07C2"/>
    <w:rsid w:val="00DA25DB"/>
    <w:rsid w:val="00DB3ECD"/>
    <w:rsid w:val="00DC15F0"/>
    <w:rsid w:val="00DD7BEA"/>
    <w:rsid w:val="00DD7EE5"/>
    <w:rsid w:val="00DE1C54"/>
    <w:rsid w:val="00DE3694"/>
    <w:rsid w:val="00DE3A3E"/>
    <w:rsid w:val="00DE530D"/>
    <w:rsid w:val="00DE704D"/>
    <w:rsid w:val="00DF04A9"/>
    <w:rsid w:val="00E00394"/>
    <w:rsid w:val="00E046EF"/>
    <w:rsid w:val="00E061CA"/>
    <w:rsid w:val="00E10426"/>
    <w:rsid w:val="00E10C32"/>
    <w:rsid w:val="00E165BB"/>
    <w:rsid w:val="00E17606"/>
    <w:rsid w:val="00E21958"/>
    <w:rsid w:val="00E304B3"/>
    <w:rsid w:val="00E346F6"/>
    <w:rsid w:val="00E34E40"/>
    <w:rsid w:val="00E37C22"/>
    <w:rsid w:val="00E40E35"/>
    <w:rsid w:val="00E455A4"/>
    <w:rsid w:val="00E47342"/>
    <w:rsid w:val="00E5194A"/>
    <w:rsid w:val="00E51FAF"/>
    <w:rsid w:val="00E5415E"/>
    <w:rsid w:val="00E56965"/>
    <w:rsid w:val="00E651B0"/>
    <w:rsid w:val="00E74399"/>
    <w:rsid w:val="00E7496E"/>
    <w:rsid w:val="00E756D7"/>
    <w:rsid w:val="00E807E4"/>
    <w:rsid w:val="00E816B0"/>
    <w:rsid w:val="00E82063"/>
    <w:rsid w:val="00E82E5C"/>
    <w:rsid w:val="00E83087"/>
    <w:rsid w:val="00E95077"/>
    <w:rsid w:val="00E966EB"/>
    <w:rsid w:val="00E9784E"/>
    <w:rsid w:val="00EA035A"/>
    <w:rsid w:val="00EA7708"/>
    <w:rsid w:val="00EB472A"/>
    <w:rsid w:val="00EC51B7"/>
    <w:rsid w:val="00ED1C58"/>
    <w:rsid w:val="00ED2D9F"/>
    <w:rsid w:val="00EE18D8"/>
    <w:rsid w:val="00EE57B0"/>
    <w:rsid w:val="00EF09FF"/>
    <w:rsid w:val="00EF766D"/>
    <w:rsid w:val="00F00503"/>
    <w:rsid w:val="00F0573B"/>
    <w:rsid w:val="00F06E07"/>
    <w:rsid w:val="00F1567C"/>
    <w:rsid w:val="00F169DE"/>
    <w:rsid w:val="00F17781"/>
    <w:rsid w:val="00F17FFC"/>
    <w:rsid w:val="00F23590"/>
    <w:rsid w:val="00F26946"/>
    <w:rsid w:val="00F308DE"/>
    <w:rsid w:val="00F50684"/>
    <w:rsid w:val="00F530C2"/>
    <w:rsid w:val="00F5710C"/>
    <w:rsid w:val="00F573F3"/>
    <w:rsid w:val="00F662CF"/>
    <w:rsid w:val="00F67D04"/>
    <w:rsid w:val="00F7025C"/>
    <w:rsid w:val="00F705F8"/>
    <w:rsid w:val="00F71056"/>
    <w:rsid w:val="00F75623"/>
    <w:rsid w:val="00F759F6"/>
    <w:rsid w:val="00F81A9E"/>
    <w:rsid w:val="00F85EC1"/>
    <w:rsid w:val="00F86245"/>
    <w:rsid w:val="00FA39A6"/>
    <w:rsid w:val="00FA7C29"/>
    <w:rsid w:val="00FB4144"/>
    <w:rsid w:val="00FB4B34"/>
    <w:rsid w:val="00FC3DF8"/>
    <w:rsid w:val="00FC6886"/>
    <w:rsid w:val="00FC74AC"/>
    <w:rsid w:val="00FD478A"/>
    <w:rsid w:val="00FE3F82"/>
    <w:rsid w:val="00FE437D"/>
    <w:rsid w:val="00FE6CF7"/>
    <w:rsid w:val="00FF047E"/>
    <w:rsid w:val="00FF692D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1E"/>
  </w:style>
  <w:style w:type="paragraph" w:styleId="3">
    <w:name w:val="heading 3"/>
    <w:basedOn w:val="a"/>
    <w:next w:val="a"/>
    <w:link w:val="30"/>
    <w:semiHidden/>
    <w:unhideWhenUsed/>
    <w:qFormat/>
    <w:rsid w:val="008E4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C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0C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3E0CCC"/>
    <w:pPr>
      <w:jc w:val="center"/>
    </w:pPr>
    <w:rPr>
      <w:b/>
      <w:sz w:val="36"/>
    </w:rPr>
  </w:style>
  <w:style w:type="table" w:styleId="a5">
    <w:name w:val="Table Grid"/>
    <w:basedOn w:val="a1"/>
    <w:rsid w:val="003E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69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C869FE"/>
    <w:pPr>
      <w:jc w:val="both"/>
    </w:pPr>
    <w:rPr>
      <w:color w:val="000000"/>
      <w:sz w:val="28"/>
    </w:rPr>
  </w:style>
  <w:style w:type="paragraph" w:customStyle="1" w:styleId="ConsTitle">
    <w:name w:val="ConsTitle"/>
    <w:rsid w:val="00C869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7">
    <w:name w:val="annotation reference"/>
    <w:rsid w:val="00C13E5E"/>
    <w:rPr>
      <w:sz w:val="16"/>
      <w:szCs w:val="16"/>
    </w:rPr>
  </w:style>
  <w:style w:type="paragraph" w:styleId="a8">
    <w:name w:val="annotation text"/>
    <w:basedOn w:val="a"/>
    <w:link w:val="a9"/>
    <w:rsid w:val="00C13E5E"/>
  </w:style>
  <w:style w:type="character" w:customStyle="1" w:styleId="a9">
    <w:name w:val="Текст примечания Знак"/>
    <w:basedOn w:val="a0"/>
    <w:link w:val="a8"/>
    <w:rsid w:val="00C13E5E"/>
  </w:style>
  <w:style w:type="paragraph" w:styleId="aa">
    <w:name w:val="annotation subject"/>
    <w:basedOn w:val="a8"/>
    <w:next w:val="a8"/>
    <w:link w:val="ab"/>
    <w:rsid w:val="00C13E5E"/>
    <w:rPr>
      <w:b/>
      <w:bCs/>
    </w:rPr>
  </w:style>
  <w:style w:type="character" w:customStyle="1" w:styleId="ab">
    <w:name w:val="Тема примечания Знак"/>
    <w:link w:val="aa"/>
    <w:rsid w:val="00C13E5E"/>
    <w:rPr>
      <w:b/>
      <w:bCs/>
    </w:rPr>
  </w:style>
  <w:style w:type="paragraph" w:styleId="ac">
    <w:name w:val="Balloon Text"/>
    <w:basedOn w:val="a"/>
    <w:link w:val="ad"/>
    <w:rsid w:val="00C13E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13E5E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373A98"/>
    <w:rPr>
      <w:color w:val="0000FF" w:themeColor="hyperlink"/>
      <w:u w:val="single"/>
    </w:rPr>
  </w:style>
  <w:style w:type="paragraph" w:customStyle="1" w:styleId="ConsNormal">
    <w:name w:val="ConsNormal"/>
    <w:rsid w:val="00C65F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laceholder Text"/>
    <w:basedOn w:val="a0"/>
    <w:uiPriority w:val="99"/>
    <w:semiHidden/>
    <w:rsid w:val="00C65FA6"/>
    <w:rPr>
      <w:color w:val="808080"/>
    </w:rPr>
  </w:style>
  <w:style w:type="character" w:styleId="af0">
    <w:name w:val="Emphasis"/>
    <w:basedOn w:val="a0"/>
    <w:qFormat/>
    <w:rsid w:val="00704AC4"/>
    <w:rPr>
      <w:i/>
      <w:iCs/>
    </w:rPr>
  </w:style>
  <w:style w:type="character" w:customStyle="1" w:styleId="a4">
    <w:name w:val="Название Знак"/>
    <w:basedOn w:val="a0"/>
    <w:link w:val="a3"/>
    <w:rsid w:val="00E21958"/>
    <w:rPr>
      <w:b/>
      <w:sz w:val="36"/>
    </w:rPr>
  </w:style>
  <w:style w:type="paragraph" w:styleId="af1">
    <w:name w:val="List Paragraph"/>
    <w:basedOn w:val="a"/>
    <w:uiPriority w:val="34"/>
    <w:qFormat/>
    <w:rsid w:val="00E2195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E49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semiHidden/>
    <w:unhideWhenUsed/>
    <w:rsid w:val="009E20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1E"/>
  </w:style>
  <w:style w:type="paragraph" w:styleId="3">
    <w:name w:val="heading 3"/>
    <w:basedOn w:val="a"/>
    <w:next w:val="a"/>
    <w:link w:val="30"/>
    <w:semiHidden/>
    <w:unhideWhenUsed/>
    <w:qFormat/>
    <w:rsid w:val="008E49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C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0C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3E0CCC"/>
    <w:pPr>
      <w:jc w:val="center"/>
    </w:pPr>
    <w:rPr>
      <w:b/>
      <w:sz w:val="36"/>
    </w:rPr>
  </w:style>
  <w:style w:type="table" w:styleId="a5">
    <w:name w:val="Table Grid"/>
    <w:basedOn w:val="a1"/>
    <w:rsid w:val="003E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869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C869FE"/>
    <w:pPr>
      <w:jc w:val="both"/>
    </w:pPr>
    <w:rPr>
      <w:color w:val="000000"/>
      <w:sz w:val="28"/>
    </w:rPr>
  </w:style>
  <w:style w:type="paragraph" w:customStyle="1" w:styleId="ConsTitle">
    <w:name w:val="ConsTitle"/>
    <w:rsid w:val="00C869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7">
    <w:name w:val="annotation reference"/>
    <w:rsid w:val="00C13E5E"/>
    <w:rPr>
      <w:sz w:val="16"/>
      <w:szCs w:val="16"/>
    </w:rPr>
  </w:style>
  <w:style w:type="paragraph" w:styleId="a8">
    <w:name w:val="annotation text"/>
    <w:basedOn w:val="a"/>
    <w:link w:val="a9"/>
    <w:rsid w:val="00C13E5E"/>
  </w:style>
  <w:style w:type="character" w:customStyle="1" w:styleId="a9">
    <w:name w:val="Текст примечания Знак"/>
    <w:basedOn w:val="a0"/>
    <w:link w:val="a8"/>
    <w:rsid w:val="00C13E5E"/>
  </w:style>
  <w:style w:type="paragraph" w:styleId="aa">
    <w:name w:val="annotation subject"/>
    <w:basedOn w:val="a8"/>
    <w:next w:val="a8"/>
    <w:link w:val="ab"/>
    <w:rsid w:val="00C13E5E"/>
    <w:rPr>
      <w:b/>
      <w:bCs/>
    </w:rPr>
  </w:style>
  <w:style w:type="character" w:customStyle="1" w:styleId="ab">
    <w:name w:val="Тема примечания Знак"/>
    <w:link w:val="aa"/>
    <w:rsid w:val="00C13E5E"/>
    <w:rPr>
      <w:b/>
      <w:bCs/>
    </w:rPr>
  </w:style>
  <w:style w:type="paragraph" w:styleId="ac">
    <w:name w:val="Balloon Text"/>
    <w:basedOn w:val="a"/>
    <w:link w:val="ad"/>
    <w:rsid w:val="00C13E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C13E5E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373A98"/>
    <w:rPr>
      <w:color w:val="0000FF" w:themeColor="hyperlink"/>
      <w:u w:val="single"/>
    </w:rPr>
  </w:style>
  <w:style w:type="paragraph" w:customStyle="1" w:styleId="ConsNormal">
    <w:name w:val="ConsNormal"/>
    <w:rsid w:val="00C65F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Placeholder Text"/>
    <w:basedOn w:val="a0"/>
    <w:uiPriority w:val="99"/>
    <w:semiHidden/>
    <w:rsid w:val="00C65FA6"/>
    <w:rPr>
      <w:color w:val="808080"/>
    </w:rPr>
  </w:style>
  <w:style w:type="character" w:styleId="af0">
    <w:name w:val="Emphasis"/>
    <w:basedOn w:val="a0"/>
    <w:qFormat/>
    <w:rsid w:val="00704AC4"/>
    <w:rPr>
      <w:i/>
      <w:iCs/>
    </w:rPr>
  </w:style>
  <w:style w:type="character" w:customStyle="1" w:styleId="a4">
    <w:name w:val="Название Знак"/>
    <w:basedOn w:val="a0"/>
    <w:link w:val="a3"/>
    <w:rsid w:val="00E21958"/>
    <w:rPr>
      <w:b/>
      <w:sz w:val="36"/>
    </w:rPr>
  </w:style>
  <w:style w:type="paragraph" w:styleId="af1">
    <w:name w:val="List Paragraph"/>
    <w:basedOn w:val="a"/>
    <w:uiPriority w:val="34"/>
    <w:qFormat/>
    <w:rsid w:val="00E2195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E49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2">
    <w:name w:val="Normal (Web)"/>
    <w:basedOn w:val="a"/>
    <w:semiHidden/>
    <w:unhideWhenUsed/>
    <w:rsid w:val="009E2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C72F7-19EC-485E-A2D3-6785DF7F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Тербунского района</Company>
  <LinksUpToDate>false</LinksUpToDate>
  <CharactersWithSpaces>26714</CharactersWithSpaces>
  <SharedDoc>false</SharedDoc>
  <HLinks>
    <vt:vector size="54" baseType="variant">
      <vt:variant>
        <vt:i4>1704031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consultantplus://offline/ref=94D458FFC4EC65192A868E7F4C59D889339D6B7E115100EDD13C32F1991A31B2DF07BEFA65EB45FA7DE526b813J</vt:lpwstr>
      </vt:variant>
      <vt:variant>
        <vt:lpwstr/>
      </vt:variant>
      <vt:variant>
        <vt:i4>1704030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consultantplus://offline/ref=94D458FFC4EC65192A868E7F4C59D889339D6B7E115100EDD13C32F1991A31B2DF07BEFA65EB45FA7DE526b812J</vt:lpwstr>
      </vt:variant>
      <vt:variant>
        <vt:lpwstr/>
      </vt:variant>
      <vt:variant>
        <vt:i4>5767255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consultantplus://offline/ref=8B3ED2CBF23AEF58F486D42C3022FD6F318211582296B0A22230BD8759xE48I</vt:lpwstr>
      </vt:variant>
      <vt:variant>
        <vt:lpwstr/>
      </vt:variant>
      <vt:variant>
        <vt:i4>1704031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consultantplus://offline/ref=94D458FFC4EC65192A868E7F4C59D889339D6B7E115100EDD13C32F1991A31B2DF07BEFA65EB45FA7DE526b813J</vt:lpwstr>
      </vt:variant>
      <vt:variant>
        <vt:lpwstr/>
      </vt:variant>
      <vt:variant>
        <vt:i4>1704030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consultantplus://offline/ref=94D458FFC4EC65192A868E7F4C59D889339D6B7E115100EDD13C32F1991A31B2DF07BEFA65EB45FA7DE526b812J</vt:lpwstr>
      </vt:variant>
      <vt:variant>
        <vt:lpwstr/>
      </vt:variant>
      <vt:variant>
        <vt:i4>7929904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consultantplus://offline/ref=CBF69B772A5AB6465A698BF6A2B101FEEB1FAF9BC629F43A38E82EDA23008325J1nAK</vt:lpwstr>
      </vt:variant>
      <vt:variant>
        <vt:lpwstr/>
      </vt:variant>
      <vt:variant>
        <vt:i4>458816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1769552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consultantplus://offline/ref=CBF69B772A5AB6465A6995FBB4DD5DF1ED13F993C222A46E6AEE79857306D6655AE42973C951D9JCn5K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Полунина Т. Р.</dc:creator>
  <cp:lastModifiedBy>Петрова Алина Витальевна</cp:lastModifiedBy>
  <cp:revision>2</cp:revision>
  <cp:lastPrinted>2022-08-01T08:21:00Z</cp:lastPrinted>
  <dcterms:created xsi:type="dcterms:W3CDTF">2024-04-08T12:19:00Z</dcterms:created>
  <dcterms:modified xsi:type="dcterms:W3CDTF">2024-04-08T12:19:00Z</dcterms:modified>
</cp:coreProperties>
</file>