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539" w:rsidRDefault="00CA05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0539" w:rsidRDefault="00CA0539">
      <w:pPr>
        <w:pStyle w:val="ConsPlusNormal"/>
        <w:jc w:val="both"/>
        <w:outlineLvl w:val="0"/>
      </w:pPr>
    </w:p>
    <w:p w:rsidR="00CA0539" w:rsidRDefault="00CA0539">
      <w:pPr>
        <w:pStyle w:val="ConsPlusTitle"/>
        <w:jc w:val="center"/>
        <w:outlineLvl w:val="0"/>
      </w:pPr>
      <w:r>
        <w:t>МИНИСТЕРСТВО ЭКОНОМИЧЕСКОГО РАЗВИТИЯ РОССИЙСКОЙ ФЕДЕРАЦИИ</w:t>
      </w:r>
    </w:p>
    <w:p w:rsidR="00CA0539" w:rsidRDefault="00CA0539">
      <w:pPr>
        <w:pStyle w:val="ConsPlusTitle"/>
        <w:jc w:val="center"/>
      </w:pPr>
    </w:p>
    <w:p w:rsidR="00CA0539" w:rsidRDefault="00CA0539">
      <w:pPr>
        <w:pStyle w:val="ConsPlusTitle"/>
        <w:jc w:val="center"/>
      </w:pPr>
      <w:r>
        <w:t>ПИСЬМО</w:t>
      </w:r>
    </w:p>
    <w:p w:rsidR="00CA0539" w:rsidRDefault="00CA0539">
      <w:pPr>
        <w:pStyle w:val="ConsPlusTitle"/>
        <w:jc w:val="center"/>
      </w:pPr>
      <w:r>
        <w:t>от 15 апреля 2020 г. N Д13и-11577</w:t>
      </w:r>
    </w:p>
    <w:p w:rsidR="00CA0539" w:rsidRDefault="00CA0539">
      <w:pPr>
        <w:pStyle w:val="ConsPlusTitle"/>
        <w:jc w:val="center"/>
      </w:pPr>
    </w:p>
    <w:p w:rsidR="00CA0539" w:rsidRDefault="00CA0539">
      <w:pPr>
        <w:pStyle w:val="ConsPlusTitle"/>
        <w:jc w:val="center"/>
      </w:pPr>
      <w:r>
        <w:t>ОБ УТВЕРЖДЕННОМ ПЕРЕЧНЕ ПОСТРАДАВШИХ ОТРАСЛЕЙ</w:t>
      </w:r>
    </w:p>
    <w:p w:rsidR="00CA0539" w:rsidRDefault="00CA0539">
      <w:pPr>
        <w:pStyle w:val="ConsPlusNormal"/>
        <w:jc w:val="both"/>
      </w:pPr>
    </w:p>
    <w:p w:rsidR="00CA0539" w:rsidRDefault="00CA0539">
      <w:pPr>
        <w:pStyle w:val="ConsPlusNormal"/>
        <w:ind w:firstLine="540"/>
        <w:jc w:val="both"/>
      </w:pPr>
      <w:r>
        <w:t xml:space="preserve">В обеспечение устойчивого развития экономики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 утвержден </w:t>
      </w:r>
      <w:hyperlink r:id="rId6" w:history="1">
        <w:r>
          <w:rPr>
            <w:color w:val="0000FF"/>
          </w:rPr>
          <w:t>перечень</w:t>
        </w:r>
      </w:hyperlink>
      <w:r>
        <w:t xml:space="preserve"> отраслей российской экономики для оказания первоочередной адресной поддержки (далее - Перечень).</w:t>
      </w:r>
    </w:p>
    <w:p w:rsidR="00CA0539" w:rsidRDefault="00CA0539">
      <w:pPr>
        <w:pStyle w:val="ConsPlusNormal"/>
        <w:spacing w:before="220"/>
        <w:ind w:firstLine="540"/>
        <w:jc w:val="both"/>
      </w:pPr>
      <w:r>
        <w:t xml:space="preserve">Информируем, что в соответствии с пунктом 4 протокола совещания у Первого заместителя Председателя Правительства Российской Федерации А.Р. Белоусова от 7 апреля 2020 г. N АБ-П13-53пр кредитным организациям при принятии решения о предоставлении кредитов по программе льготного зарплатного кредитования, утвержденной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апреля 2020 г. N 422 "Об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субъектам малого и среднего предпринимательства на неотложные нужды для поддержки и сохранения занятости" (далее - Программа 422), и по программе льготной реструктуризации, утвержденной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 апреля 2020 г. N 410 "Об утверждении Правил предоставления субсидий из федерального бюджета российским кредитным организациям на обеспечение отсрочки платежа по кредитам, выданным субъектам малого и среднего предпринимательства" (далее - Программа 410), рекомендовано руководствоваться </w:t>
      </w:r>
      <w:hyperlink r:id="rId9" w:history="1">
        <w:r>
          <w:rPr>
            <w:color w:val="0000FF"/>
          </w:rPr>
          <w:t>Перечнем</w:t>
        </w:r>
      </w:hyperlink>
      <w:r>
        <w:t>.</w:t>
      </w:r>
    </w:p>
    <w:p w:rsidR="00CA0539" w:rsidRDefault="00CA0539">
      <w:pPr>
        <w:pStyle w:val="ConsPlusNormal"/>
        <w:spacing w:before="220"/>
        <w:ind w:firstLine="540"/>
        <w:jc w:val="both"/>
      </w:pPr>
      <w:r>
        <w:t xml:space="preserve">Каждая отрасль (сфера деятельности) в </w:t>
      </w:r>
      <w:hyperlink r:id="rId10" w:history="1">
        <w:r>
          <w:rPr>
            <w:color w:val="0000FF"/>
          </w:rPr>
          <w:t>Перечне</w:t>
        </w:r>
      </w:hyperlink>
      <w:r>
        <w:t xml:space="preserve"> определяется соответствующими кодами </w:t>
      </w:r>
      <w:hyperlink r:id="rId11" w:history="1">
        <w:r>
          <w:rPr>
            <w:color w:val="0000FF"/>
          </w:rPr>
          <w:t>ОКВЭД 2</w:t>
        </w:r>
      </w:hyperlink>
      <w:r>
        <w:t>.</w:t>
      </w:r>
    </w:p>
    <w:p w:rsidR="00CA0539" w:rsidRDefault="00CA0539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ОКВЭД 2</w:t>
        </w:r>
      </w:hyperlink>
      <w:r>
        <w:t xml:space="preserve"> отражены отдельные классы (XX), подклассы (XX.X), группы (XX.XX), подгруппы (XX.XX.X) и виды (XX.XX.XX).</w:t>
      </w:r>
    </w:p>
    <w:p w:rsidR="00CA0539" w:rsidRDefault="00CA0539">
      <w:pPr>
        <w:pStyle w:val="ConsPlusNormal"/>
        <w:spacing w:before="220"/>
        <w:ind w:firstLine="540"/>
        <w:jc w:val="both"/>
      </w:pPr>
      <w:r>
        <w:t xml:space="preserve">В случае, если в </w:t>
      </w:r>
      <w:hyperlink r:id="rId13" w:history="1">
        <w:r>
          <w:rPr>
            <w:color w:val="0000FF"/>
          </w:rPr>
          <w:t>Перечне</w:t>
        </w:r>
      </w:hyperlink>
      <w:r>
        <w:t xml:space="preserve"> приведен целиком класс или подкласс, это означает, что все входящие в него группировки (группы, подгруппы, виды) также включены в </w:t>
      </w:r>
      <w:hyperlink r:id="rId14" w:history="1">
        <w:r>
          <w:rPr>
            <w:color w:val="0000FF"/>
          </w:rPr>
          <w:t>Перечень</w:t>
        </w:r>
      </w:hyperlink>
      <w:r>
        <w:t>.</w:t>
      </w:r>
    </w:p>
    <w:p w:rsidR="00CA0539" w:rsidRDefault="00CA0539">
      <w:pPr>
        <w:pStyle w:val="ConsPlusNormal"/>
        <w:spacing w:before="220"/>
        <w:ind w:firstLine="540"/>
        <w:jc w:val="both"/>
      </w:pPr>
      <w:r>
        <w:t xml:space="preserve">Например, включенный в Перечень </w:t>
      </w:r>
      <w:hyperlink r:id="rId15" w:history="1">
        <w:r>
          <w:rPr>
            <w:color w:val="0000FF"/>
          </w:rPr>
          <w:t>класс</w:t>
        </w:r>
      </w:hyperlink>
      <w:r>
        <w:t xml:space="preserve"> "Деятельность по предоставлению продуктов питания и напитков" (код ОКВЭД 2 - </w:t>
      </w:r>
      <w:hyperlink r:id="rId16" w:history="1">
        <w:r>
          <w:rPr>
            <w:color w:val="0000FF"/>
          </w:rPr>
          <w:t>56</w:t>
        </w:r>
      </w:hyperlink>
      <w:r>
        <w:t>) означает, что также включены:</w:t>
      </w:r>
    </w:p>
    <w:p w:rsidR="00CA0539" w:rsidRDefault="00CA0539">
      <w:pPr>
        <w:pStyle w:val="ConsPlusNormal"/>
        <w:spacing w:before="220"/>
        <w:ind w:firstLine="540"/>
        <w:jc w:val="both"/>
      </w:pPr>
      <w:r>
        <w:t xml:space="preserve">- подкласс и группа "Деятельность ресторанов и услуги по доставке продуктов питания" (коды ОКВЭД 2 - </w:t>
      </w:r>
      <w:hyperlink r:id="rId17" w:history="1">
        <w:r>
          <w:rPr>
            <w:color w:val="0000FF"/>
          </w:rPr>
          <w:t>56.1</w:t>
        </w:r>
      </w:hyperlink>
      <w:r>
        <w:t xml:space="preserve"> и </w:t>
      </w:r>
      <w:hyperlink r:id="rId18" w:history="1">
        <w:r>
          <w:rPr>
            <w:color w:val="0000FF"/>
          </w:rPr>
          <w:t>56.10</w:t>
        </w:r>
      </w:hyperlink>
      <w:r>
        <w:t>);</w:t>
      </w:r>
    </w:p>
    <w:p w:rsidR="00CA0539" w:rsidRDefault="00CA0539">
      <w:pPr>
        <w:pStyle w:val="ConsPlusNormal"/>
        <w:spacing w:before="220"/>
        <w:ind w:firstLine="540"/>
        <w:jc w:val="both"/>
      </w:pPr>
      <w:r>
        <w:t xml:space="preserve">- подгруппа "Деятельность ресторанов и кафе с полным ресторанным обслуживанием, кафетериев, ресторанов быстрого питания и самообслуживания питания" (код ОКВЭД 2 - </w:t>
      </w:r>
      <w:hyperlink r:id="rId19" w:history="1">
        <w:r>
          <w:rPr>
            <w:color w:val="0000FF"/>
          </w:rPr>
          <w:t>56.10.1</w:t>
        </w:r>
      </w:hyperlink>
      <w:r>
        <w:t>);</w:t>
      </w:r>
    </w:p>
    <w:p w:rsidR="00CA0539" w:rsidRDefault="00CA0539">
      <w:pPr>
        <w:pStyle w:val="ConsPlusNormal"/>
        <w:spacing w:before="220"/>
        <w:ind w:firstLine="540"/>
        <w:jc w:val="both"/>
      </w:pPr>
      <w:r>
        <w:t xml:space="preserve">- вид "Деятельность передвижных продовольственных лавок по приготовлению и/или продаже пищи, готовой к употреблению" (код ОКВЭД 2 - </w:t>
      </w:r>
      <w:hyperlink r:id="rId20" w:history="1">
        <w:r>
          <w:rPr>
            <w:color w:val="0000FF"/>
          </w:rPr>
          <w:t>56.10.22</w:t>
        </w:r>
      </w:hyperlink>
      <w:r>
        <w:t>).</w:t>
      </w:r>
    </w:p>
    <w:p w:rsidR="00CA0539" w:rsidRDefault="00CA0539">
      <w:pPr>
        <w:pStyle w:val="ConsPlusNormal"/>
        <w:spacing w:before="220"/>
        <w:ind w:firstLine="540"/>
        <w:jc w:val="both"/>
      </w:pPr>
      <w:r>
        <w:t xml:space="preserve">Просьба учесть при формировании заявки на участие в отборе российских кредитных организаций на получение субсидии из федерального бюджета по </w:t>
      </w:r>
      <w:hyperlink r:id="rId21" w:history="1">
        <w:r>
          <w:rPr>
            <w:color w:val="0000FF"/>
          </w:rPr>
          <w:t>Программе</w:t>
        </w:r>
      </w:hyperlink>
      <w:r>
        <w:t xml:space="preserve"> 422 и </w:t>
      </w:r>
      <w:hyperlink r:id="rId22" w:history="1">
        <w:r>
          <w:rPr>
            <w:color w:val="0000FF"/>
          </w:rPr>
          <w:t>Программе</w:t>
        </w:r>
      </w:hyperlink>
      <w:r>
        <w:t xml:space="preserve"> 410, а также при формировании реестра заемщиков в случае включения банка в качестве уполномоченного в указанные программы.</w:t>
      </w:r>
    </w:p>
    <w:p w:rsidR="00CA0539" w:rsidRDefault="00CA0539">
      <w:pPr>
        <w:pStyle w:val="ConsPlusNormal"/>
        <w:jc w:val="both"/>
      </w:pPr>
    </w:p>
    <w:p w:rsidR="00CA0539" w:rsidRDefault="00CA0539">
      <w:pPr>
        <w:pStyle w:val="ConsPlusNormal"/>
        <w:jc w:val="right"/>
      </w:pPr>
      <w:r>
        <w:lastRenderedPageBreak/>
        <w:t>Директор Департамента</w:t>
      </w:r>
    </w:p>
    <w:p w:rsidR="00CA0539" w:rsidRDefault="00CA0539">
      <w:pPr>
        <w:pStyle w:val="ConsPlusNormal"/>
        <w:jc w:val="right"/>
      </w:pPr>
      <w:r>
        <w:t>инвестиционной политики</w:t>
      </w:r>
    </w:p>
    <w:p w:rsidR="00CA0539" w:rsidRDefault="00CA0539">
      <w:pPr>
        <w:pStyle w:val="ConsPlusNormal"/>
        <w:jc w:val="right"/>
      </w:pPr>
      <w:r>
        <w:t>и развития предпринимательства</w:t>
      </w:r>
    </w:p>
    <w:p w:rsidR="00CA0539" w:rsidRDefault="00CA0539">
      <w:pPr>
        <w:pStyle w:val="ConsPlusNormal"/>
        <w:jc w:val="right"/>
      </w:pPr>
      <w:r>
        <w:t>М.Т.АРСЛАНОВА</w:t>
      </w:r>
    </w:p>
    <w:p w:rsidR="00CA0539" w:rsidRDefault="00CA0539">
      <w:pPr>
        <w:pStyle w:val="ConsPlusNormal"/>
        <w:jc w:val="both"/>
      </w:pPr>
    </w:p>
    <w:p w:rsidR="00CA0539" w:rsidRDefault="00CA0539">
      <w:pPr>
        <w:pStyle w:val="ConsPlusNormal"/>
        <w:jc w:val="both"/>
      </w:pPr>
    </w:p>
    <w:p w:rsidR="00CA0539" w:rsidRDefault="00CA0539">
      <w:pPr>
        <w:pStyle w:val="ConsPlusNormal"/>
        <w:jc w:val="both"/>
      </w:pPr>
    </w:p>
    <w:p w:rsidR="00CA0539" w:rsidRDefault="00CA0539">
      <w:pPr>
        <w:pStyle w:val="ConsPlusNormal"/>
        <w:jc w:val="both"/>
      </w:pPr>
    </w:p>
    <w:p w:rsidR="00CA0539" w:rsidRDefault="00CA0539">
      <w:pPr>
        <w:pStyle w:val="ConsPlusNormal"/>
        <w:jc w:val="both"/>
      </w:pPr>
    </w:p>
    <w:p w:rsidR="00CA0539" w:rsidRDefault="00CA0539">
      <w:pPr>
        <w:pStyle w:val="ConsPlusTitle"/>
        <w:jc w:val="center"/>
        <w:outlineLvl w:val="0"/>
      </w:pPr>
      <w:r>
        <w:t>ВОПРОСЫ</w:t>
      </w:r>
    </w:p>
    <w:p w:rsidR="00CA0539" w:rsidRDefault="00CA0539">
      <w:pPr>
        <w:pStyle w:val="ConsPlusTitle"/>
        <w:jc w:val="center"/>
      </w:pPr>
      <w:r>
        <w:t>КРЕДИТНЫХ ОРГАНИЗАЦИЙ О РЕАЛИЗАЦИИ ПОСТАНОВЛЕНИЯ</w:t>
      </w:r>
    </w:p>
    <w:p w:rsidR="00CA0539" w:rsidRDefault="00CA0539">
      <w:pPr>
        <w:pStyle w:val="ConsPlusTitle"/>
        <w:jc w:val="center"/>
      </w:pPr>
      <w:r>
        <w:t>ПРАВИТЕЛЬСТВА РОССИЙСКОЙ ФЕДЕРАЦИИ ОТ 2 АПРЕЛЯ 2020 Г.</w:t>
      </w:r>
    </w:p>
    <w:p w:rsidR="00CA0539" w:rsidRDefault="00CA0539">
      <w:pPr>
        <w:pStyle w:val="ConsPlusTitle"/>
        <w:jc w:val="center"/>
      </w:pPr>
      <w:r>
        <w:t>N 410, ПОСТАНОВЛЕНИЯ ПРАВИТЕЛЬСТВА РОССИЙСКОЙ ФЕДЕРАЦИИ</w:t>
      </w:r>
    </w:p>
    <w:p w:rsidR="00CA0539" w:rsidRDefault="00CA0539">
      <w:pPr>
        <w:pStyle w:val="ConsPlusTitle"/>
        <w:jc w:val="center"/>
      </w:pPr>
      <w:r>
        <w:t>ОТ 2 АПРЕЛЯ 2020 Г. N 422 И КОММЕНТАРИИ ДЕПАРТАМЕНТА</w:t>
      </w:r>
    </w:p>
    <w:p w:rsidR="00CA0539" w:rsidRDefault="00CA0539">
      <w:pPr>
        <w:pStyle w:val="ConsPlusTitle"/>
        <w:jc w:val="center"/>
      </w:pPr>
      <w:r>
        <w:t>ИНВЕСТИЦИОННОЙ ПОЛИТИКИ И РАЗВИТИЯ ПРЕДПРИНИМАТЕЛЬСТВА</w:t>
      </w:r>
    </w:p>
    <w:p w:rsidR="00CA0539" w:rsidRDefault="00CA0539">
      <w:pPr>
        <w:pStyle w:val="ConsPlusNormal"/>
        <w:jc w:val="both"/>
      </w:pPr>
    </w:p>
    <w:p w:rsidR="00CA0539" w:rsidRDefault="00CA0539">
      <w:pPr>
        <w:sectPr w:rsidR="00CA0539" w:rsidSect="00D10D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6520"/>
      </w:tblGrid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6633" w:type="dxa"/>
          </w:tcPr>
          <w:p w:rsidR="00CA0539" w:rsidRDefault="00CA0539">
            <w:pPr>
              <w:pStyle w:val="ConsPlusNormal"/>
              <w:jc w:val="center"/>
            </w:pPr>
            <w:r>
              <w:t>Вопросы кредитных организаций</w:t>
            </w:r>
          </w:p>
        </w:tc>
        <w:tc>
          <w:tcPr>
            <w:tcW w:w="6520" w:type="dxa"/>
          </w:tcPr>
          <w:p w:rsidR="00CA0539" w:rsidRDefault="00CA0539">
            <w:pPr>
              <w:pStyle w:val="ConsPlusNormal"/>
              <w:jc w:val="center"/>
            </w:pPr>
            <w:r>
              <w:t>Комментарии Департамента</w:t>
            </w:r>
          </w:p>
        </w:tc>
      </w:tr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Одним из самых частых вопросов является перечень сфер и отраслей, которые будут поддерживаться в первую очередь.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В связи с этим просим дать разъяснения по соблюдению со стороны субъектов МСП, отнесенных к наиболее пострадавшим в результате распространения новой коронавирусной инфекции отраслям одновременно 2-х следующих условий: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- Предприятия МСП должны иметь ОКВЭД на 01.04.2020 в числе разрешенных видов деятельности (как в статусе основного, так и в статусе дополнительного).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- Предприятия МСП должны вести деятельность в рамках указанного ОКВЭД до 01.04.2020 и получать не менее 40 процентов выручки от указанного вида деятельности.</w:t>
            </w:r>
          </w:p>
        </w:tc>
        <w:tc>
          <w:tcPr>
            <w:tcW w:w="6520" w:type="dxa"/>
            <w:vAlign w:val="bottom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Правилами предоставления субсидий из федерального бюджета российским кредитным организациям на возмещение недополученных ими доходов по кредитам, выданным в 2020 году субъектам малого и среднего предпринимательства на неотложные нужды для поддержки и сохранения занятости, утвержденными постановлением Правительства Российской Федерации от 2 апреля 2020 г. N 422 (Правила 422), а также Правилами предоставления в 2020 году субсидий из федерального бюджета российским кредитным организациям на обеспечение отсрочки платежа по кредитам, выданным субъектам малого и среднего предпринимательства, утвержденными постановлением Правительства Российской Федерации от 2 апреля 2020 г. N 410 (Правила 410), не предусмотрено требований к заемщику в части доли выручки, получаемой от осуществления определенного вида деятельности.</w:t>
            </w:r>
          </w:p>
        </w:tc>
      </w:tr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33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В рамках Программы 8,5 при проведении реструктуризации, можем ли мы увеличивать срок кредитного договора, при установлении отсрочки по уплате основного долга и процентов.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На текущий момент условиями Программы установлен максимальный срок кредитования - 3 года для целей пополнения оборотных средств и 10 лет на инвестиционные цели. При проведении реструктуризации с продлением сроков кредитования, которые превышают максимально возможный срок по Программе, Заемщики исключаются из Программы и переходят на коммерческую ставку Банка, что в текущей ситуации может негативно отразиться на финансовом положении Заемщиков и увеличить риск дефолтности субъектов МСП.</w:t>
            </w:r>
          </w:p>
        </w:tc>
        <w:tc>
          <w:tcPr>
            <w:tcW w:w="6520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При проведении реструктуризации кредитных договоров (соглашений), включенных в Программу 8,5 для сохранения льготной ставки по договору нельзя увеличивать срок договора более предельных сроков, установленных Правилами (10 лет для кредитных соглашений на инвестиционные цели, 3 года для кредитных соглашений на пополнение оборотных средств), но возможно в дополнительном соглашении по реструктуризации предусмотреть возможность пролонгации КД на больший срок по истечению льготного периода.</w:t>
            </w:r>
          </w:p>
        </w:tc>
      </w:tr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33" w:type="dxa"/>
            <w:vAlign w:val="bottom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 xml:space="preserve">О порядке применения подпункта "е" пункта 7 (ПП N 410) Согласно подпункта "е" пункта 7 при предоставлении заемщику права отсрочки платежа по основному долгу процентная ставка по </w:t>
            </w:r>
            <w:r>
              <w:lastRenderedPageBreak/>
              <w:t>кредитному договору не увеличивается в течение 9 месяцев со дня включения заемщика в реестр заемщиков, если заемщик исполняет свои обязательства в соответствии с подпунктом "д" и (или) обязательства по уплате основного долга в соответствии с новым графиком.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Исполнение данного пункта вступает в противоречие с положениями следующих подпунктов: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"д", где заемщик платит платежи по пониженной ставке в период с 1 апреля по 1 октября 2020 г. в размере 33% объема платежей, предусмотренных графиком платежей за указанный период, т.е. заемщику устанавливается льготная ставка не на 6 месяцев или менее, а фактически на 9 месяцев. В свою очередь, кредитор получает субсидию только в период с 1 апреля по 1 октября 2020 г.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"з", где получатель субсидии не взимает с заемщика часть платежей по начисленным процентам в период с 1 апреля по 1 октября 2020 г. в размере 67 процентов объема платежей, предусмотренных графиком платежей за указанный период.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При этом со стороны Банка не взимание 33 процентов объема платежей может происходить только с понижением процентной ставки на эту величину.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В связи с этим просим пересмотреть положения подпункта "е" и предоставить кредитору возможность поднять ставку заемщику по истечении льготного периода до ставки по кредитному договору, установленную до начала действия льготного периода.</w:t>
            </w:r>
          </w:p>
        </w:tc>
        <w:tc>
          <w:tcPr>
            <w:tcW w:w="6520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lastRenderedPageBreak/>
              <w:t>Согласно условиям Правил 410 процентная ставка по кредитному договору (соглашения) не может увеличиваться на уровень выше, чем на момент включения в Программу.</w:t>
            </w:r>
          </w:p>
        </w:tc>
      </w:tr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33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О порядке применения подпункта "д" пункта 7. (ПП N 410)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Подпункт "д" пункта 7 говорит о том, что заемщик осуществляет платежи процентов в период с 1 апреля по 1 октября 2020 г. в размере 33% объема платежей, предусмотренных графиком платежей за указанный период.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 xml:space="preserve">Правильно ли мы понимаем, независимо от того, что в Программе зафиксирована дата 01.04.2020, то если заемщик обратился для участия в программе в июне 2020 года и был включен в реестр 15.06.2020, он получает право на уплату 33% от суммы процентов </w:t>
            </w:r>
            <w:r>
              <w:lastRenderedPageBreak/>
              <w:t>начиная с даты включения заемщика в реестр по 01.10.2020?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Также просим дополнительно разъяснить, возможно ли для облегчения нагрузки на заемщика осуществить перенос платежей процентов в период с 1 апреля по 1 октября 2020 г. в размере 33 процентов, не в основной долг, а в качестве отложенных процентов на иные платежи.</w:t>
            </w:r>
          </w:p>
        </w:tc>
        <w:tc>
          <w:tcPr>
            <w:tcW w:w="6520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lastRenderedPageBreak/>
              <w:t>Минэкономразвития России подготовлен проект постановления, уточняющий положения указанных пунктов Правил 410. В частности, планируется введение понятия "период предоставления отсрочки", который не должен превышать 6 месяцев и не должен заканчиваться позже 31 декабря 2020 года.</w:t>
            </w:r>
          </w:p>
        </w:tc>
      </w:tr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33" w:type="dxa"/>
            <w:vAlign w:val="bottom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О порядке предоставления кредитов согласно Постановления Правительства N 422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Согласно Постановления Правительства 422 Банк должен предоставить кредит на заработную плату в размере, указанном в пункте 18 правил, но вместе с тем, остается неразрешенная ситуация с количеством работников у заемщика. В частности, Банк, в который обращается предприниматель может обслуживать только часть зарплатного проекта предпринимателя. В этом случае существует риск, при котором заемщик может получить кредит на зарплату сразу в нескольких банках.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Просим дать разъяснения по данному вопросу о возможности выдачи кредита под 0% только для заемщиков, у которых в Банке заключен договор на выплату заработной платы или который осуществляет перечисление заработной платы через Банк.</w:t>
            </w:r>
          </w:p>
        </w:tc>
        <w:tc>
          <w:tcPr>
            <w:tcW w:w="6520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Правилами 422 не предусмотрено требований к заемщику в части необходимости наличия договора с Банком на выплату заработной платы.</w:t>
            </w:r>
          </w:p>
        </w:tc>
      </w:tr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33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В Правилах не определены условия, при которых у Банка есть возможность исключить заемщика из реестра субсидирования согласно Правил.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Правильно ли мы понимаем, что заемщик не подлежит исключению из реестра субсидирования, даже если у него возникла просроченная задолженность по уплате процентов по пониженной ставке, нарушены условия в части возврата заемных средств?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Подлежит ли направлению Банком в Минэкономразвития России и с какой целью реестр кредитных договоров (соглашений), по которым заемщиком были нарушены условия в части возврата заемных средств, либо информация из такого реестра.</w:t>
            </w:r>
          </w:p>
        </w:tc>
        <w:tc>
          <w:tcPr>
            <w:tcW w:w="6520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Пунктом 7 Правил 422, определены условия для предоставления субсидии. При этом в соответствии с пунктом 24 Правил, в случае установления факта нарушения получателем субсидии цели, условий и порядка предоставления субсидии, соответствующие средства подлежат возврату в доход федерального бюджета.</w:t>
            </w:r>
          </w:p>
        </w:tc>
      </w:tr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633" w:type="dxa"/>
            <w:vAlign w:val="bottom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II. Порядок уплаты заемщиком процентных платежей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В соответствии с подпунктом "д" пункта 7 Правил заемщик осуществляет платежи процентов в период с 1 апреля по 1 октября 2020 г. в размере 33 процентов объема платежей, предусмотренных графиком платежей за указанный период.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Правильно ли мы понимаем, что с целью корректного ведения бухгалтерского учета Банк вправе заключить дополнительное соглашение об установлении на льготный период процентной ставки равной 1/3 процентной ставки, действующей на дату заключения дополнительного соглашения. При этом размер субсидии от Минэкономразвития России будет рассчитываться как 34% от размера ставки, действующей на дату заключения дополнительного соглашения, умноженной на остаток ссудной задолженности на аналогичную дату.</w:t>
            </w:r>
          </w:p>
        </w:tc>
        <w:tc>
          <w:tcPr>
            <w:tcW w:w="6520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В соответствии с подпунктом "д" пункта 7 Правил 410 заемщик осуществляет платежи процентов в период с 1 апреля по 1 октября 2020 г. в размере 33 процентов объема платежей, предусмотренных графиком платежей за указанный период. При этом, Правилами не определен механизм обеспечения выполнения указанного условия.</w:t>
            </w:r>
          </w:p>
        </w:tc>
      </w:tr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33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Одним из критериев соответствия Заемщиков указанным ПП N 422 является заключение кредитного договора с конечной ставкой 0 процентов годовых на период субсидирования, но не позднее 31 декабря 2020 года. При этом период субсидирования ограничивается 6 месяцами, но не позднее 31 декабря 2020 года.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При обращении клиента за кредитом, например, в сентябре 2020 года, будет ли изменяться логика расчета максимальной суммы кредита, так как период субсидирования будет уже не шесть, а четыре месяца или же расчет производится всегда исходя из шестимесячного периода независимо от даты заключения кредитного договора.</w:t>
            </w:r>
          </w:p>
        </w:tc>
        <w:tc>
          <w:tcPr>
            <w:tcW w:w="6520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При обращении клиента за кредитом, например, в сентябре 2020 года, срок кредита устанавливается до 1 года, при этом ставка 0% устанавливается до 30 ноября 2020 года, в связи с тем, что последняя субсидия в текущем финансовом году, будет оплачена за ноябрь месяц.</w:t>
            </w:r>
          </w:p>
        </w:tc>
      </w:tr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33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Согласно постановлению Правительства Российской Федерации N 479 от 10 апреля 2020 г. "О внесении изменений в перечень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 в перечень пострадавших отраслей добавлены следующие отрасли: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 xml:space="preserve">"Деятельность в области демонстрации кинофильмов, ОКВЭД </w:t>
            </w:r>
            <w:r>
              <w:lastRenderedPageBreak/>
              <w:t>59.14";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"Деятельность в области здравоохранения. Стоматологическая практика, ОКВЭД 86.23".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Планируется ли в рамках ПП N 422 внесение данных отраслей в Перечень отраслей и видов деятельности, утвержденных Правительственной комиссией.</w:t>
            </w:r>
          </w:p>
        </w:tc>
        <w:tc>
          <w:tcPr>
            <w:tcW w:w="6520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lastRenderedPageBreak/>
              <w:t>Минэкономразвития России подготовлен проект постановления, направленный на внесение изменений в Правила 410 и Правила 422 в части применения для целей их реализации перечня отраслей, утверждаемого постановлением Правительства Российской Федерации N 434.</w:t>
            </w:r>
          </w:p>
        </w:tc>
      </w:tr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633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Согласно ПП N 422 Банк должен предоставить кредит на заработную плату в размере, указанном в пункте 18 правил. Сумма кредита зависит в т.ч. от численности сотрудников, которая определяется на основании сведений о застрахованных лицах, подаваемых страхователем в ПФР. Вместе с тем, в текущих условиях стоит проблема доступа и получения информации в государственных органах, как получателями поддержки, так и кредитными организациями, в связи с ограничениями на посещение ФНС, ПФР и частичное закрытие МФЦ в регионах.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Просим Вас оказать содействие и предоставить возможность получения сведений о численности в ФНС с предоставлением доступа кредитным организациям к информационным системам ФНС и внести изменения в ПП N 422 в части источника предоставления информации о численности.</w:t>
            </w:r>
          </w:p>
        </w:tc>
        <w:tc>
          <w:tcPr>
            <w:tcW w:w="6520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Механизм взаимодействия кредитных организаций с ФНС России прорабатывается в настоящий момент в рамках решений Правительства Российской Федерации.</w:t>
            </w:r>
          </w:p>
        </w:tc>
      </w:tr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633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 xml:space="preserve">Если клиент подает заявку на кредит в два Банка в рамках ПП N 422, каким Банком будет осуществляться финансирование и как будет контролироваться, чтобы избежать </w:t>
            </w:r>
            <w:proofErr w:type="gramStart"/>
            <w:r>
              <w:t>ситуации</w:t>
            </w:r>
            <w:proofErr w:type="gramEnd"/>
            <w:r>
              <w:t xml:space="preserve"> когда клиент получит два кредита в рамках одной программы.</w:t>
            </w:r>
          </w:p>
        </w:tc>
        <w:tc>
          <w:tcPr>
            <w:tcW w:w="6520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Механизм взаимодействия кредитных организаций с ФНС России, в том числе для целей осуществления контроля, прорабатывается в настоящий момент в рамках решений Правительства Российской Федерации.</w:t>
            </w:r>
          </w:p>
        </w:tc>
      </w:tr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633" w:type="dxa"/>
            <w:vAlign w:val="bottom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Верно ли мы понимаем в рамках ПП N 422 и ПП N 410, что Банк имеет право самостоятельно принимать решение о предоставлении/непредоставлении кредитов клиенту, в том числе определять дополнительные требования к заемщику, включая наличие расчетного счета, зарплатного проекта в Банке, а также принимать решение о возможности кредитования на основании кредитного скорринга, финансового анализа.</w:t>
            </w:r>
          </w:p>
        </w:tc>
        <w:tc>
          <w:tcPr>
            <w:tcW w:w="6520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Правилами 422 и 410 определены условия для предоставления субсидии российской кредитной организации по кредитному соглашению.</w:t>
            </w:r>
          </w:p>
        </w:tc>
      </w:tr>
      <w:tr w:rsidR="00CA0539">
        <w:tc>
          <w:tcPr>
            <w:tcW w:w="454" w:type="dxa"/>
          </w:tcPr>
          <w:p w:rsidR="00CA0539" w:rsidRDefault="00CA0539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633" w:type="dxa"/>
            <w:vAlign w:val="bottom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 xml:space="preserve">Согласно постановлению Правительства Российской Федерации от 02.04.2020 N 422 Банк должен предоставить кредит на заработную плату в размере, указанном в пункте 18 Правил для субъектов </w:t>
            </w:r>
            <w:proofErr w:type="gramStart"/>
            <w:r>
              <w:t>МСП категории</w:t>
            </w:r>
            <w:proofErr w:type="gramEnd"/>
            <w:r>
              <w:t xml:space="preserve"> Малый и микро бизнес.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При проверке сведений о численности Банку необходимо дополнительно проводить сверку по численности в соответствии с реестром МСП?</w:t>
            </w:r>
          </w:p>
          <w:p w:rsidR="00CA0539" w:rsidRDefault="00CA0539">
            <w:pPr>
              <w:pStyle w:val="ConsPlusNormal"/>
              <w:ind w:firstLine="283"/>
              <w:jc w:val="both"/>
            </w:pPr>
            <w:r>
              <w:t>При превышении численности 100 человек Банк отказывает клиенту в продукте? В соответствии с 209-ФЗ численность для малых предприятий определена на уровне не более 100 человек.</w:t>
            </w:r>
          </w:p>
        </w:tc>
        <w:tc>
          <w:tcPr>
            <w:tcW w:w="6520" w:type="dxa"/>
          </w:tcPr>
          <w:p w:rsidR="00CA0539" w:rsidRDefault="00CA0539">
            <w:pPr>
              <w:pStyle w:val="ConsPlusNormal"/>
              <w:ind w:firstLine="283"/>
              <w:jc w:val="both"/>
            </w:pPr>
            <w:r>
              <w:t>Заемщик должен соответствовать условиям предоставления субсидии, предусмотренными Правилами 422 и 410, по сведениям, размещенным в Едином реестре субъектов МСП.</w:t>
            </w:r>
          </w:p>
        </w:tc>
      </w:tr>
    </w:tbl>
    <w:p w:rsidR="00CA0539" w:rsidRDefault="00CA0539">
      <w:pPr>
        <w:pStyle w:val="ConsPlusNormal"/>
        <w:jc w:val="both"/>
      </w:pPr>
    </w:p>
    <w:p w:rsidR="00CA0539" w:rsidRDefault="00CA0539">
      <w:pPr>
        <w:pStyle w:val="ConsPlusNormal"/>
        <w:jc w:val="both"/>
      </w:pPr>
    </w:p>
    <w:p w:rsidR="00CA0539" w:rsidRDefault="00CA05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47B1" w:rsidRDefault="00DA47B1">
      <w:bookmarkStart w:id="0" w:name="_GoBack"/>
      <w:bookmarkEnd w:id="0"/>
    </w:p>
    <w:sectPr w:rsidR="00DA47B1" w:rsidSect="00484C6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539"/>
    <w:rsid w:val="00CA0539"/>
    <w:rsid w:val="00DA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37412-C6E5-484D-A109-BBA5CE7B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0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05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BFFE05DC04324A51630900B5E4748704CE593D85CDCFE15D0E01BDA5DFDBE0E9F18EC971E25EF0D043FD1C5FsEM7M" TargetMode="External"/><Relationship Id="rId13" Type="http://schemas.openxmlformats.org/officeDocument/2006/relationships/hyperlink" Target="consultantplus://offline/ref=BCBFFE05DC04324A51630900B5E4748704CF50398DC5CFE15D0E01BDA5DFDBE0FBF1D6C573EA40F1D456AB4D19B2C734CC25CA977A4FF1ADs1MCM" TargetMode="External"/><Relationship Id="rId18" Type="http://schemas.openxmlformats.org/officeDocument/2006/relationships/hyperlink" Target="consultantplus://offline/ref=BCBFFE05DC04324A51630900B5E4748704CF50368CC2CFE15D0E01BDA5DFDBE0FBF1D6C573EE43F3D556AB4D19B2C734CC25CA977A4FF1ADs1M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CBFFE05DC04324A51630900B5E4748704CE593D85C1CFE15D0E01BDA5DFDBE0E9F18EC971E25EF0D043FD1C5FsEM7M" TargetMode="External"/><Relationship Id="rId7" Type="http://schemas.openxmlformats.org/officeDocument/2006/relationships/hyperlink" Target="consultantplus://offline/ref=BCBFFE05DC04324A51630900B5E4748704CE593D85C1CFE15D0E01BDA5DFDBE0E9F18EC971E25EF0D043FD1C5FsEM7M" TargetMode="External"/><Relationship Id="rId12" Type="http://schemas.openxmlformats.org/officeDocument/2006/relationships/hyperlink" Target="consultantplus://offline/ref=BCBFFE05DC04324A51630900B5E4748704CF50368CC2CFE15D0E01BDA5DFDBE0E9F18EC971E25EF0D043FD1C5FsEM7M" TargetMode="External"/><Relationship Id="rId17" Type="http://schemas.openxmlformats.org/officeDocument/2006/relationships/hyperlink" Target="consultantplus://offline/ref=BCBFFE05DC04324A51630900B5E4748704CF50368CC2CFE15D0E01BDA5DFDBE0FBF1D6C573EE43F2DD56AB4D19B2C734CC25CA977A4FF1ADs1M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CBFFE05DC04324A51630900B5E4748704CF50368CC2CFE15D0E01BDA5DFDBE0FBF1D6C573EE43F2D256AB4D19B2C734CC25CA977A4FF1ADs1MCM" TargetMode="External"/><Relationship Id="rId20" Type="http://schemas.openxmlformats.org/officeDocument/2006/relationships/hyperlink" Target="consultantplus://offline/ref=BCBFFE05DC04324A51630900B5E4748704CF50368CC2CFE15D0E01BDA5DFDBE0FBF1D6C573EE43F3DD56AB4D19B2C734CC25CA977A4FF1ADs1M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BFFE05DC04324A51630900B5E4748704CF50398DC5CFE15D0E01BDA5DFDBE0FBF1D6C573EA40F1D456AB4D19B2C734CC25CA977A4FF1ADs1MCM" TargetMode="External"/><Relationship Id="rId11" Type="http://schemas.openxmlformats.org/officeDocument/2006/relationships/hyperlink" Target="consultantplus://offline/ref=BCBFFE05DC04324A51630900B5E4748704CF50368CC2CFE15D0E01BDA5DFDBE0E9F18EC971E25EF0D043FD1C5FsEM7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CBFFE05DC04324A51630900B5E4748704CF50398DC5CFE15D0E01BDA5DFDBE0E9F18EC971E25EF0D043FD1C5FsEM7M" TargetMode="External"/><Relationship Id="rId15" Type="http://schemas.openxmlformats.org/officeDocument/2006/relationships/hyperlink" Target="consultantplus://offline/ref=BCBFFE05DC04324A51630900B5E4748704CF50398DC5CFE15D0E01BDA5DFDBE0FBF1D6C573EA40F4D756AB4D19B2C734CC25CA977A4FF1ADs1M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CBFFE05DC04324A51630900B5E4748704CF50398DC5CFE15D0E01BDA5DFDBE0FBF1D6C573EA40F1D456AB4D19B2C734CC25CA977A4FF1ADs1MCM" TargetMode="External"/><Relationship Id="rId19" Type="http://schemas.openxmlformats.org/officeDocument/2006/relationships/hyperlink" Target="consultantplus://offline/ref=BCBFFE05DC04324A51630900B5E4748704CF50368CC2CFE15D0E01BDA5DFDBE0FBF1D6C573EE43F3D756AB4D19B2C734CC25CA977A4FF1ADs1MC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CBFFE05DC04324A51630900B5E4748704CF50398DC5CFE15D0E01BDA5DFDBE0FBF1D6C573EA40F1D456AB4D19B2C734CC25CA977A4FF1ADs1MCM" TargetMode="External"/><Relationship Id="rId14" Type="http://schemas.openxmlformats.org/officeDocument/2006/relationships/hyperlink" Target="consultantplus://offline/ref=BCBFFE05DC04324A51630900B5E4748704CF50398DC5CFE15D0E01BDA5DFDBE0FBF1D6C573EA40F1D456AB4D19B2C734CC25CA977A4FF1ADs1MCM" TargetMode="External"/><Relationship Id="rId22" Type="http://schemas.openxmlformats.org/officeDocument/2006/relationships/hyperlink" Target="consultantplus://offline/ref=BCBFFE05DC04324A51630900B5E4748704CE593D85CDCFE15D0E01BDA5DFDBE0E9F18EC971E25EF0D043FD1C5FsEM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2805</Words>
  <Characters>15992</Characters>
  <Application>Microsoft Office Word</Application>
  <DocSecurity>0</DocSecurity>
  <Lines>133</Lines>
  <Paragraphs>37</Paragraphs>
  <ScaleCrop>false</ScaleCrop>
  <Company/>
  <LinksUpToDate>false</LinksUpToDate>
  <CharactersWithSpaces>18760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Екатерина Геннадиевна</dc:creator>
  <cp:keywords/>
  <dc:description/>
  <cp:lastModifiedBy>Кондратьева Екатерина Геннадиевна</cp:lastModifiedBy>
  <cp:revision>1</cp:revision>
  <dcterms:created xsi:type="dcterms:W3CDTF">2020-04-28T12:12:00Z</dcterms:created>
  <dcterms:modified xsi:type="dcterms:W3CDTF">2020-04-28T12:13:00Z</dcterms:modified>
</cp:coreProperties>
</file>